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223CC" w14:textId="77777777" w:rsidR="00B65D8D" w:rsidRPr="00060A7D" w:rsidRDefault="00B65D8D" w:rsidP="00060A7D">
      <w:pPr>
        <w:spacing w:after="0"/>
        <w:rPr>
          <w:rFonts w:ascii="Garamond" w:hAnsi="Garamond"/>
        </w:rPr>
      </w:pPr>
    </w:p>
    <w:p w14:paraId="6D871FDA" w14:textId="7E2E1A3A" w:rsidR="00D61110" w:rsidRPr="00060A7D" w:rsidRDefault="00D12776" w:rsidP="00060A7D">
      <w:pPr>
        <w:widowControl w:val="0"/>
        <w:spacing w:after="120" w:line="308" w:lineRule="auto"/>
        <w:ind w:right="-32" w:hanging="1"/>
        <w:jc w:val="center"/>
        <w:rPr>
          <w:rFonts w:ascii="Garamond" w:eastAsia="Garamond" w:hAnsi="Garamond" w:cs="Garamond"/>
          <w:b/>
          <w:color w:val="202124"/>
          <w:sz w:val="32"/>
          <w:szCs w:val="32"/>
        </w:rPr>
      </w:pPr>
      <w:r w:rsidRPr="00D12776">
        <w:rPr>
          <w:rFonts w:ascii="Garamond" w:eastAsia="Garamond" w:hAnsi="Garamond" w:cs="Garamond"/>
          <w:b/>
          <w:color w:val="202124"/>
          <w:sz w:val="32"/>
          <w:szCs w:val="32"/>
        </w:rPr>
        <w:t xml:space="preserve">The </w:t>
      </w:r>
      <w:proofErr w:type="spellStart"/>
      <w:r w:rsidRPr="00D12776">
        <w:rPr>
          <w:rFonts w:ascii="Garamond" w:eastAsia="Garamond" w:hAnsi="Garamond" w:cs="Garamond"/>
          <w:b/>
          <w:color w:val="202124"/>
          <w:sz w:val="32"/>
          <w:szCs w:val="32"/>
        </w:rPr>
        <w:t>Paradigm</w:t>
      </w:r>
      <w:proofErr w:type="spellEnd"/>
      <w:r w:rsidRPr="00D12776">
        <w:rPr>
          <w:rFonts w:ascii="Garamond" w:eastAsia="Garamond" w:hAnsi="Garamond" w:cs="Garamond"/>
          <w:b/>
          <w:color w:val="202124"/>
          <w:sz w:val="32"/>
          <w:szCs w:val="32"/>
        </w:rPr>
        <w:t xml:space="preserve"> </w:t>
      </w:r>
      <w:proofErr w:type="spellStart"/>
      <w:r w:rsidRPr="00D12776">
        <w:rPr>
          <w:rFonts w:ascii="Garamond" w:eastAsia="Garamond" w:hAnsi="Garamond" w:cs="Garamond"/>
          <w:b/>
          <w:color w:val="202124"/>
          <w:sz w:val="32"/>
          <w:szCs w:val="32"/>
        </w:rPr>
        <w:t>of</w:t>
      </w:r>
      <w:proofErr w:type="spellEnd"/>
      <w:r w:rsidRPr="00D12776">
        <w:rPr>
          <w:rFonts w:ascii="Garamond" w:eastAsia="Garamond" w:hAnsi="Garamond" w:cs="Garamond"/>
          <w:b/>
          <w:color w:val="202124"/>
          <w:sz w:val="32"/>
          <w:szCs w:val="32"/>
        </w:rPr>
        <w:t xml:space="preserve"> </w:t>
      </w:r>
      <w:proofErr w:type="spellStart"/>
      <w:r w:rsidRPr="00D12776">
        <w:rPr>
          <w:rFonts w:ascii="Garamond" w:eastAsia="Garamond" w:hAnsi="Garamond" w:cs="Garamond"/>
          <w:b/>
          <w:color w:val="202124"/>
          <w:sz w:val="32"/>
          <w:szCs w:val="32"/>
        </w:rPr>
        <w:t>Reconstructing</w:t>
      </w:r>
      <w:proofErr w:type="spellEnd"/>
      <w:r w:rsidRPr="00D12776">
        <w:rPr>
          <w:rFonts w:ascii="Garamond" w:eastAsia="Garamond" w:hAnsi="Garamond" w:cs="Garamond"/>
          <w:b/>
          <w:color w:val="202124"/>
          <w:sz w:val="32"/>
          <w:szCs w:val="32"/>
        </w:rPr>
        <w:t xml:space="preserve"> Fazlur </w:t>
      </w:r>
      <w:proofErr w:type="spellStart"/>
      <w:r w:rsidRPr="00D12776">
        <w:rPr>
          <w:rFonts w:ascii="Garamond" w:eastAsia="Garamond" w:hAnsi="Garamond" w:cs="Garamond"/>
          <w:b/>
          <w:color w:val="202124"/>
          <w:sz w:val="32"/>
          <w:szCs w:val="32"/>
        </w:rPr>
        <w:t>Rahman's</w:t>
      </w:r>
      <w:proofErr w:type="spellEnd"/>
      <w:r w:rsidRPr="00D12776">
        <w:rPr>
          <w:rFonts w:ascii="Garamond" w:eastAsia="Garamond" w:hAnsi="Garamond" w:cs="Garamond"/>
          <w:b/>
          <w:color w:val="202124"/>
          <w:sz w:val="32"/>
          <w:szCs w:val="32"/>
        </w:rPr>
        <w:t xml:space="preserve"> </w:t>
      </w:r>
      <w:proofErr w:type="spellStart"/>
      <w:r w:rsidRPr="00D12776">
        <w:rPr>
          <w:rFonts w:ascii="Garamond" w:eastAsia="Garamond" w:hAnsi="Garamond" w:cs="Garamond"/>
          <w:b/>
          <w:color w:val="202124"/>
          <w:sz w:val="32"/>
          <w:szCs w:val="32"/>
        </w:rPr>
        <w:t>Ethical</w:t>
      </w:r>
      <w:proofErr w:type="spellEnd"/>
      <w:r w:rsidRPr="00D12776">
        <w:rPr>
          <w:rFonts w:ascii="Garamond" w:eastAsia="Garamond" w:hAnsi="Garamond" w:cs="Garamond"/>
          <w:b/>
          <w:color w:val="202124"/>
          <w:sz w:val="32"/>
          <w:szCs w:val="32"/>
        </w:rPr>
        <w:t xml:space="preserve">-Legal </w:t>
      </w:r>
      <w:proofErr w:type="spellStart"/>
      <w:r w:rsidRPr="00D12776">
        <w:rPr>
          <w:rFonts w:ascii="Garamond" w:eastAsia="Garamond" w:hAnsi="Garamond" w:cs="Garamond"/>
          <w:b/>
          <w:color w:val="202124"/>
          <w:sz w:val="32"/>
          <w:szCs w:val="32"/>
        </w:rPr>
        <w:t>Contextual</w:t>
      </w:r>
      <w:proofErr w:type="spellEnd"/>
      <w:r w:rsidRPr="00D12776">
        <w:rPr>
          <w:rFonts w:ascii="Garamond" w:eastAsia="Garamond" w:hAnsi="Garamond" w:cs="Garamond"/>
          <w:b/>
          <w:color w:val="202124"/>
          <w:sz w:val="32"/>
          <w:szCs w:val="32"/>
        </w:rPr>
        <w:t xml:space="preserve"> </w:t>
      </w:r>
      <w:proofErr w:type="spellStart"/>
      <w:r w:rsidRPr="00D12776">
        <w:rPr>
          <w:rFonts w:ascii="Garamond" w:eastAsia="Garamond" w:hAnsi="Garamond" w:cs="Garamond"/>
          <w:b/>
          <w:color w:val="202124"/>
          <w:sz w:val="32"/>
          <w:szCs w:val="32"/>
        </w:rPr>
        <w:t>Interpretation</w:t>
      </w:r>
      <w:proofErr w:type="spellEnd"/>
      <w:r w:rsidRPr="00D12776">
        <w:rPr>
          <w:rFonts w:ascii="Garamond" w:eastAsia="Garamond" w:hAnsi="Garamond" w:cs="Garamond"/>
          <w:b/>
          <w:color w:val="202124"/>
          <w:sz w:val="32"/>
          <w:szCs w:val="32"/>
        </w:rPr>
        <w:t xml:space="preserve"> </w:t>
      </w:r>
      <w:proofErr w:type="spellStart"/>
      <w:r w:rsidRPr="00D12776">
        <w:rPr>
          <w:rFonts w:ascii="Garamond" w:eastAsia="Garamond" w:hAnsi="Garamond" w:cs="Garamond"/>
          <w:b/>
          <w:color w:val="202124"/>
          <w:sz w:val="32"/>
          <w:szCs w:val="32"/>
        </w:rPr>
        <w:t>of</w:t>
      </w:r>
      <w:proofErr w:type="spellEnd"/>
      <w:r w:rsidRPr="00D12776">
        <w:rPr>
          <w:rFonts w:ascii="Garamond" w:eastAsia="Garamond" w:hAnsi="Garamond" w:cs="Garamond"/>
          <w:b/>
          <w:color w:val="202124"/>
          <w:sz w:val="32"/>
          <w:szCs w:val="32"/>
        </w:rPr>
        <w:t xml:space="preserve"> </w:t>
      </w:r>
      <w:proofErr w:type="spellStart"/>
      <w:r w:rsidRPr="00D12776">
        <w:rPr>
          <w:rFonts w:ascii="Garamond" w:eastAsia="Garamond" w:hAnsi="Garamond" w:cs="Garamond"/>
          <w:b/>
          <w:color w:val="202124"/>
          <w:sz w:val="32"/>
          <w:szCs w:val="32"/>
        </w:rPr>
        <w:t>the</w:t>
      </w:r>
      <w:proofErr w:type="spellEnd"/>
      <w:r w:rsidRPr="00D12776">
        <w:rPr>
          <w:rFonts w:ascii="Garamond" w:eastAsia="Garamond" w:hAnsi="Garamond" w:cs="Garamond"/>
          <w:b/>
          <w:color w:val="202124"/>
          <w:sz w:val="32"/>
          <w:szCs w:val="32"/>
        </w:rPr>
        <w:t xml:space="preserve"> </w:t>
      </w:r>
      <w:proofErr w:type="spellStart"/>
      <w:r w:rsidRPr="00D12776">
        <w:rPr>
          <w:rFonts w:ascii="Garamond" w:eastAsia="Garamond" w:hAnsi="Garamond" w:cs="Garamond"/>
          <w:b/>
          <w:color w:val="202124"/>
          <w:sz w:val="32"/>
          <w:szCs w:val="32"/>
        </w:rPr>
        <w:t>Qur'an</w:t>
      </w:r>
      <w:proofErr w:type="spellEnd"/>
      <w:r w:rsidR="00DF2EB1" w:rsidRPr="00060A7D">
        <w:rPr>
          <w:rFonts w:ascii="Garamond" w:eastAsia="Garamond" w:hAnsi="Garamond" w:cs="Garamond"/>
          <w:b/>
          <w:color w:val="202124"/>
          <w:sz w:val="32"/>
          <w:szCs w:val="32"/>
        </w:rPr>
        <w:t xml:space="preserve"> </w:t>
      </w:r>
    </w:p>
    <w:p w14:paraId="3A384222" w14:textId="77777777" w:rsidR="00060A7D" w:rsidRPr="00060A7D" w:rsidRDefault="00060A7D" w:rsidP="00060A7D">
      <w:pPr>
        <w:widowControl w:val="0"/>
        <w:pBdr>
          <w:top w:val="nil"/>
          <w:left w:val="nil"/>
          <w:bottom w:val="nil"/>
          <w:right w:val="nil"/>
          <w:between w:val="nil"/>
        </w:pBdr>
        <w:spacing w:after="0" w:line="240" w:lineRule="auto"/>
        <w:ind w:right="-34"/>
        <w:jc w:val="center"/>
        <w:rPr>
          <w:rFonts w:ascii="Garamond" w:eastAsia="Garamond" w:hAnsi="Garamond" w:cs="Garamond"/>
          <w:b/>
          <w:color w:val="000000"/>
          <w:sz w:val="24"/>
          <w:szCs w:val="24"/>
        </w:rPr>
      </w:pPr>
      <w:r w:rsidRPr="00060A7D">
        <w:rPr>
          <w:rFonts w:ascii="Garamond" w:eastAsia="Garamond" w:hAnsi="Garamond" w:cs="Garamond"/>
          <w:b/>
          <w:color w:val="000000"/>
          <w:sz w:val="24"/>
          <w:szCs w:val="24"/>
        </w:rPr>
        <w:t>Putra Pandu Dinata Nurdiansyah</w:t>
      </w:r>
    </w:p>
    <w:p w14:paraId="085AAADC" w14:textId="5CE9B6C4" w:rsidR="00060A7D" w:rsidRPr="00060A7D" w:rsidRDefault="00060A7D" w:rsidP="00060A7D">
      <w:pPr>
        <w:pBdr>
          <w:top w:val="nil"/>
          <w:left w:val="nil"/>
          <w:bottom w:val="nil"/>
          <w:right w:val="nil"/>
          <w:between w:val="nil"/>
        </w:pBdr>
        <w:spacing w:after="0" w:line="240" w:lineRule="auto"/>
        <w:jc w:val="center"/>
        <w:rPr>
          <w:rFonts w:ascii="Garamond" w:eastAsia="Garamond" w:hAnsi="Garamond" w:cs="Garamond"/>
          <w:sz w:val="24"/>
          <w:szCs w:val="24"/>
        </w:rPr>
      </w:pPr>
      <w:r w:rsidRPr="00060A7D">
        <w:rPr>
          <w:rFonts w:ascii="Garamond" w:eastAsia="Garamond" w:hAnsi="Garamond" w:cs="Garamond"/>
          <w:color w:val="000000"/>
          <w:sz w:val="24"/>
          <w:szCs w:val="24"/>
        </w:rPr>
        <w:t xml:space="preserve">Universitas Islam Negeri </w:t>
      </w:r>
      <w:r w:rsidR="00BA2585">
        <w:rPr>
          <w:rFonts w:ascii="Garamond" w:eastAsia="Garamond" w:hAnsi="Garamond" w:cs="Garamond"/>
          <w:color w:val="000000"/>
          <w:sz w:val="24"/>
          <w:szCs w:val="24"/>
        </w:rPr>
        <w:t xml:space="preserve">(UIN) </w:t>
      </w:r>
      <w:r w:rsidRPr="00060A7D">
        <w:rPr>
          <w:rFonts w:ascii="Garamond" w:eastAsia="Garamond" w:hAnsi="Garamond" w:cs="Garamond"/>
          <w:color w:val="000000"/>
          <w:sz w:val="24"/>
          <w:szCs w:val="24"/>
        </w:rPr>
        <w:t>Maulana Malik Ibrahim Malang</w:t>
      </w:r>
      <w:r w:rsidR="007334F9">
        <w:rPr>
          <w:rFonts w:ascii="Garamond" w:eastAsia="Garamond" w:hAnsi="Garamond" w:cs="Garamond"/>
          <w:color w:val="000000"/>
          <w:sz w:val="24"/>
          <w:szCs w:val="24"/>
        </w:rPr>
        <w:t>, Indonesia</w:t>
      </w:r>
    </w:p>
    <w:p w14:paraId="44B24764" w14:textId="7C345BD8" w:rsidR="00BD3F63" w:rsidRPr="00060A7D" w:rsidRDefault="00000000" w:rsidP="00060A7D">
      <w:pPr>
        <w:pBdr>
          <w:top w:val="nil"/>
          <w:left w:val="nil"/>
          <w:bottom w:val="nil"/>
          <w:right w:val="nil"/>
          <w:between w:val="nil"/>
        </w:pBdr>
        <w:spacing w:after="240" w:line="240" w:lineRule="auto"/>
        <w:jc w:val="center"/>
        <w:rPr>
          <w:rFonts w:ascii="Garamond" w:eastAsia="Garamond" w:hAnsi="Garamond" w:cs="Garamond"/>
          <w:sz w:val="24"/>
          <w:szCs w:val="24"/>
        </w:rPr>
      </w:pPr>
      <w:hyperlink r:id="rId9" w:history="1">
        <w:r w:rsidR="00060A7D" w:rsidRPr="007334F9">
          <w:rPr>
            <w:rStyle w:val="Hyperlink"/>
            <w:rFonts w:ascii="Garamond" w:eastAsia="Garamond" w:hAnsi="Garamond" w:cs="Garamond"/>
            <w:color w:val="000000" w:themeColor="text1"/>
            <w:sz w:val="24"/>
            <w:szCs w:val="24"/>
            <w:u w:val="none"/>
          </w:rPr>
          <w:t>putrapandudinata@gmail.com</w:t>
        </w:r>
      </w:hyperlink>
    </w:p>
    <w:p w14:paraId="06699A34" w14:textId="199457C2" w:rsidR="00BD3F63" w:rsidRPr="00060A7D" w:rsidRDefault="006F1621" w:rsidP="00BA2585">
      <w:pPr>
        <w:widowControl w:val="0"/>
        <w:pBdr>
          <w:top w:val="nil"/>
          <w:left w:val="nil"/>
          <w:bottom w:val="nil"/>
          <w:right w:val="nil"/>
          <w:between w:val="nil"/>
        </w:pBdr>
        <w:spacing w:after="120" w:line="240" w:lineRule="auto"/>
        <w:jc w:val="both"/>
        <w:rPr>
          <w:rFonts w:ascii="Garamond" w:eastAsia="Garamond" w:hAnsi="Garamond" w:cs="Garamond"/>
          <w:i/>
          <w:color w:val="000000"/>
        </w:rPr>
      </w:pPr>
      <w:r w:rsidRPr="00060A7D">
        <w:rPr>
          <w:rFonts w:ascii="Garamond" w:eastAsia="Garamond" w:hAnsi="Garamond" w:cs="Garamond"/>
          <w:b/>
          <w:color w:val="000000"/>
        </w:rPr>
        <w:t>Abstract</w:t>
      </w:r>
      <w:r w:rsidRPr="00060A7D">
        <w:rPr>
          <w:rFonts w:ascii="Garamond" w:eastAsia="Garamond" w:hAnsi="Garamond" w:cs="Garamond"/>
        </w:rPr>
        <w:t>:</w:t>
      </w:r>
      <w:r w:rsidR="00C3628A" w:rsidRPr="00060A7D">
        <w:rPr>
          <w:rFonts w:ascii="Garamond" w:eastAsia="Garamond" w:hAnsi="Garamond" w:cs="Garamond"/>
          <w:i/>
          <w:color w:val="000000"/>
        </w:rPr>
        <w:t xml:space="preserve"> </w:t>
      </w:r>
      <w:r w:rsidR="000971CB" w:rsidRPr="00060A7D">
        <w:rPr>
          <w:rFonts w:ascii="Garamond" w:eastAsia="Garamond" w:hAnsi="Garamond" w:cs="Garamond"/>
          <w:i/>
          <w:color w:val="000000"/>
        </w:rPr>
        <w:t>The Qur’an contains not only spiritual and theological values but also ethical and legal principles aimed at building a just and civilized society. However, traditional approaches to interpreting legal verses of the Qur’an tend to be literalist, atomistic, and insufficiently responsive to complex social transformations. This condition highlights the urgent need for methodological renewal in interpreting the Qur’an’s ethical-legal messages to ensure their continued relevance in contemporary contexts. This study aims to examine in depth the ethical-legal interpretive paradigm of the Qur’an in the thought of Fazlur Rahman, a prominent modernist Muslim thinker who offers a moral-conceptual approach through his Double Movement Theory. The research focuses on three main aspects: (1) Fazlur Rahman’s paradigm of ethical-legal Qur’anic interpretation, (2) his critique of traditional Islamic exegesis, and (3) the implications of his ideas for the development of contemporary Islamic legal thought. This study employs a qualitative library research method using content analysis of Fazlur Rahman’s primary works and relevant secondary literature. The distinction of this study lies in its emphasis on the ethical-legal dimension of Qur’anic interpretation, a topic that has rarely been systematically explored. Its novelty lies in the integration of the Double Movement Theory within the framework of ethical-legal interpretation that is responsive to social justice values and the dynamics of modern life. The findings demonstrate that Rahman’s approach enables a reconstruction of Islamic legal hermeneutics to become more contextual, humanistic, and rooted in the Qur’an’s universal moral values. This study affirms the importance of a dynamic ethical-legal interpretive paradigm as a foundational basis for developing Islamic legal thought that remains adaptive and relevant to the challenges of the modern era</w:t>
      </w:r>
      <w:r w:rsidRPr="00060A7D">
        <w:rPr>
          <w:rFonts w:ascii="Garamond" w:eastAsia="Garamond" w:hAnsi="Garamond" w:cs="Garamond"/>
          <w:i/>
          <w:color w:val="000000"/>
        </w:rPr>
        <w:t xml:space="preserve">. </w:t>
      </w:r>
    </w:p>
    <w:p w14:paraId="1C4D6C53" w14:textId="4CB0310A" w:rsidR="00BD3F63" w:rsidRPr="00060A7D" w:rsidRDefault="006F1621" w:rsidP="00060A7D">
      <w:pPr>
        <w:widowControl w:val="0"/>
        <w:pBdr>
          <w:top w:val="nil"/>
          <w:left w:val="nil"/>
          <w:bottom w:val="nil"/>
          <w:right w:val="nil"/>
          <w:between w:val="nil"/>
        </w:pBdr>
        <w:spacing w:after="120" w:line="240" w:lineRule="auto"/>
        <w:ind w:right="-32" w:hanging="1"/>
        <w:jc w:val="both"/>
        <w:rPr>
          <w:rFonts w:ascii="Garamond" w:eastAsia="Garamond" w:hAnsi="Garamond" w:cs="Garamond"/>
          <w:i/>
          <w:color w:val="000000"/>
        </w:rPr>
      </w:pPr>
      <w:proofErr w:type="spellStart"/>
      <w:r w:rsidRPr="00060A7D">
        <w:rPr>
          <w:rFonts w:ascii="Garamond" w:eastAsia="Garamond" w:hAnsi="Garamond" w:cs="Garamond"/>
          <w:b/>
          <w:color w:val="000000"/>
        </w:rPr>
        <w:t>Keywords</w:t>
      </w:r>
      <w:proofErr w:type="spellEnd"/>
      <w:r w:rsidRPr="00060A7D">
        <w:rPr>
          <w:rFonts w:ascii="Garamond" w:eastAsia="Garamond" w:hAnsi="Garamond" w:cs="Garamond"/>
          <w:color w:val="000000"/>
        </w:rPr>
        <w:t>:</w:t>
      </w:r>
      <w:r w:rsidRPr="00060A7D">
        <w:rPr>
          <w:rFonts w:ascii="Garamond" w:eastAsia="Garamond" w:hAnsi="Garamond" w:cs="Garamond"/>
          <w:i/>
          <w:color w:val="000000"/>
        </w:rPr>
        <w:t xml:space="preserve"> </w:t>
      </w:r>
      <w:proofErr w:type="spellStart"/>
      <w:r w:rsidR="00D12776">
        <w:rPr>
          <w:rFonts w:ascii="Garamond" w:eastAsia="Garamond" w:hAnsi="Garamond" w:cs="Garamond"/>
          <w:i/>
          <w:color w:val="000000"/>
        </w:rPr>
        <w:t>Ethical</w:t>
      </w:r>
      <w:proofErr w:type="spellEnd"/>
      <w:r w:rsidR="00D12776">
        <w:rPr>
          <w:rFonts w:ascii="Garamond" w:eastAsia="Garamond" w:hAnsi="Garamond" w:cs="Garamond"/>
          <w:i/>
          <w:color w:val="000000"/>
        </w:rPr>
        <w:t>-Legal</w:t>
      </w:r>
      <w:r w:rsidR="000971CB" w:rsidRPr="00060A7D">
        <w:rPr>
          <w:rFonts w:ascii="Garamond" w:eastAsia="Garamond" w:hAnsi="Garamond" w:cs="Garamond"/>
          <w:i/>
          <w:color w:val="000000"/>
        </w:rPr>
        <w:t xml:space="preserve">; Fazlur Rahman; </w:t>
      </w:r>
      <w:proofErr w:type="spellStart"/>
      <w:r w:rsidR="000971CB" w:rsidRPr="00060A7D">
        <w:rPr>
          <w:rFonts w:ascii="Garamond" w:eastAsia="Garamond" w:hAnsi="Garamond" w:cs="Garamond"/>
          <w:i/>
          <w:color w:val="000000"/>
        </w:rPr>
        <w:t>Qur’an</w:t>
      </w:r>
      <w:proofErr w:type="spellEnd"/>
      <w:r w:rsidR="000971CB" w:rsidRPr="00060A7D">
        <w:rPr>
          <w:rFonts w:ascii="Garamond" w:eastAsia="Garamond" w:hAnsi="Garamond" w:cs="Garamond"/>
          <w:i/>
          <w:color w:val="000000"/>
        </w:rPr>
        <w:t xml:space="preserve">; </w:t>
      </w:r>
      <w:proofErr w:type="spellStart"/>
      <w:r w:rsidR="000971CB" w:rsidRPr="00060A7D">
        <w:rPr>
          <w:rFonts w:ascii="Garamond" w:eastAsia="Garamond" w:hAnsi="Garamond" w:cs="Garamond"/>
          <w:i/>
          <w:color w:val="000000"/>
        </w:rPr>
        <w:t>Exegesis</w:t>
      </w:r>
      <w:proofErr w:type="spellEnd"/>
      <w:r w:rsidR="000971CB" w:rsidRPr="00060A7D">
        <w:rPr>
          <w:rFonts w:ascii="Garamond" w:eastAsia="Garamond" w:hAnsi="Garamond" w:cs="Garamond"/>
          <w:i/>
          <w:color w:val="000000"/>
        </w:rPr>
        <w:t>.</w:t>
      </w:r>
    </w:p>
    <w:p w14:paraId="61415ECD" w14:textId="78AF26DC" w:rsidR="00BD3F63" w:rsidRPr="00060A7D" w:rsidRDefault="006F1621" w:rsidP="00BA2585">
      <w:pPr>
        <w:pBdr>
          <w:top w:val="nil"/>
          <w:left w:val="nil"/>
          <w:bottom w:val="nil"/>
          <w:right w:val="nil"/>
          <w:between w:val="nil"/>
        </w:pBdr>
        <w:spacing w:after="120" w:line="240" w:lineRule="auto"/>
        <w:jc w:val="both"/>
        <w:rPr>
          <w:rFonts w:ascii="Garamond" w:eastAsia="Garamond" w:hAnsi="Garamond" w:cs="Garamond"/>
          <w:color w:val="000000"/>
        </w:rPr>
      </w:pPr>
      <w:r w:rsidRPr="00060A7D">
        <w:rPr>
          <w:rFonts w:ascii="Garamond" w:eastAsia="Garamond" w:hAnsi="Garamond" w:cs="Garamond"/>
          <w:b/>
          <w:color w:val="000000"/>
        </w:rPr>
        <w:t>Abstrak</w:t>
      </w:r>
      <w:r w:rsidRPr="00060A7D">
        <w:rPr>
          <w:rFonts w:ascii="Garamond" w:eastAsia="Garamond" w:hAnsi="Garamond" w:cs="Garamond"/>
          <w:b/>
        </w:rPr>
        <w:t>:</w:t>
      </w:r>
      <w:r w:rsidRPr="00060A7D">
        <w:rPr>
          <w:rFonts w:ascii="Garamond" w:eastAsia="Garamond" w:hAnsi="Garamond" w:cs="Garamond"/>
          <w:b/>
          <w:color w:val="000000"/>
        </w:rPr>
        <w:t xml:space="preserve"> </w:t>
      </w:r>
      <w:r w:rsidR="000971CB" w:rsidRPr="00060A7D">
        <w:rPr>
          <w:rFonts w:ascii="Garamond" w:eastAsia="Garamond" w:hAnsi="Garamond" w:cs="Garamond"/>
          <w:i/>
          <w:color w:val="000000"/>
        </w:rPr>
        <w:t>Al-Qur’an tidak hanya memuat nilai-nilai spiritual dan teologis, tetapi juga mengandung prinsip etika dan hukum yang bertujuan membentuk masyarakat yang adil dan beradab. Namun, pendekatan tafsir tradisional terhadap ayat-ayat hukum cenderung bersifat literal, atomistik, dan kurang responsif terhadap perubahan sosial yang kompleks. Kondisi ini menimbulkan urgensi akan pembaruan metodologis dalam menafsirkan pesan etik-hukum Al-Qur’an agar tetap relevan dalam konteks kontemporer. Penelitian ini bertujuan mengkaji secara mendalam paradigma penafsiran etik-hukum Al-Qur’an dalam pemikiran Fazlur Rahman, seorang pemikir Muslim modernis yang menawarkan pendekatan moral-konseptual melalui metode Double Movement Theory. Fokus penelitian ini mencakup tiga aspek utama: (1) paradigma tafsir etik-hukum Fazlur Rahman, (2) kritiknya terhadap pendekatan tafsir tradisional, dan (3) implikasi pemikirannya terhadap pengembangan hukum Islam kontemporer. Penelitian ini menggunakan metode kualitatif kepustakaan dengan analisis isi terhadap karya primer Fazlur Rahman dan literatur sekunder terkait. Distingsi penelitian ini terletak pada penekanan terhadap aspek etika-hukum dalam tafsir Qur’ani yang selama ini belum banyak dielaborasi secara sistematis. Sementara novelty penelitian ini terletak pada integrasi Double Movement Theory ke dalam kerangka tafsir etik-hukum yang responsif terhadap nilai-nilai keadilan sosial dan dinamika kehidupan modern. Hasil penelitian menunjukkan bahwa pendekatan Rahman mampu merekonstruksi tafsir hukum Islam menjadi lebih kontekstual, humanistik, dan berakar pada nilai-nilai universal Al-Qur’an. Penelitian ini menegaskan pentingnya paradigma tafsir etik-hukum sebagai fondasi untuk membangun pemikiran hukum Islam yang dinamis dan adaptif terhadap tantangan zaman</w:t>
      </w:r>
      <w:r w:rsidRPr="00060A7D">
        <w:rPr>
          <w:rFonts w:ascii="Garamond" w:eastAsia="Garamond" w:hAnsi="Garamond" w:cs="Garamond"/>
          <w:color w:val="000000"/>
        </w:rPr>
        <w:t xml:space="preserve">. </w:t>
      </w:r>
    </w:p>
    <w:p w14:paraId="1CF622AA" w14:textId="0CBB7F4E" w:rsidR="00BA2585" w:rsidRDefault="006F1621" w:rsidP="00BA2585">
      <w:pPr>
        <w:widowControl w:val="0"/>
        <w:pBdr>
          <w:top w:val="nil"/>
          <w:left w:val="nil"/>
          <w:bottom w:val="nil"/>
          <w:right w:val="nil"/>
          <w:between w:val="nil"/>
        </w:pBdr>
        <w:spacing w:after="120" w:line="240" w:lineRule="auto"/>
        <w:ind w:right="-32" w:hanging="1"/>
        <w:jc w:val="both"/>
        <w:rPr>
          <w:rFonts w:ascii="Garamond" w:eastAsia="Garamond" w:hAnsi="Garamond" w:cs="Garamond"/>
          <w:b/>
          <w:color w:val="000000"/>
          <w:sz w:val="24"/>
          <w:szCs w:val="24"/>
        </w:rPr>
      </w:pPr>
      <w:r w:rsidRPr="00060A7D">
        <w:rPr>
          <w:rFonts w:ascii="Garamond" w:eastAsia="Garamond" w:hAnsi="Garamond" w:cs="Garamond"/>
          <w:b/>
          <w:color w:val="000000"/>
        </w:rPr>
        <w:t>Kata kunci</w:t>
      </w:r>
      <w:r w:rsidRPr="00060A7D">
        <w:rPr>
          <w:rFonts w:ascii="Garamond" w:eastAsia="Garamond" w:hAnsi="Garamond" w:cs="Garamond"/>
          <w:color w:val="000000"/>
        </w:rPr>
        <w:t xml:space="preserve">: </w:t>
      </w:r>
      <w:proofErr w:type="spellStart"/>
      <w:r w:rsidR="00D12776">
        <w:rPr>
          <w:rFonts w:ascii="Garamond" w:eastAsia="Garamond" w:hAnsi="Garamond" w:cs="Garamond"/>
          <w:i/>
          <w:color w:val="000000"/>
          <w:lang w:val="en-US"/>
        </w:rPr>
        <w:t>Etik</w:t>
      </w:r>
      <w:proofErr w:type="spellEnd"/>
      <w:r w:rsidR="00D12776">
        <w:rPr>
          <w:rFonts w:ascii="Garamond" w:eastAsia="Garamond" w:hAnsi="Garamond" w:cs="Garamond"/>
          <w:i/>
          <w:color w:val="000000"/>
          <w:lang w:val="en-US"/>
        </w:rPr>
        <w:t>-Hukum</w:t>
      </w:r>
      <w:r w:rsidR="000971CB" w:rsidRPr="00060A7D">
        <w:rPr>
          <w:rFonts w:ascii="Garamond" w:eastAsia="Garamond" w:hAnsi="Garamond" w:cs="Garamond"/>
          <w:i/>
          <w:color w:val="000000"/>
          <w:lang w:val="en-US"/>
        </w:rPr>
        <w:t>;</w:t>
      </w:r>
      <w:r w:rsidR="000971CB" w:rsidRPr="00060A7D">
        <w:rPr>
          <w:rFonts w:ascii="Garamond" w:eastAsia="Garamond" w:hAnsi="Garamond" w:cs="Garamond"/>
          <w:color w:val="000000"/>
          <w:lang w:val="en-US"/>
        </w:rPr>
        <w:t xml:space="preserve"> </w:t>
      </w:r>
      <w:r w:rsidR="00B20506" w:rsidRPr="00060A7D">
        <w:rPr>
          <w:rFonts w:ascii="Garamond" w:eastAsia="Garamond" w:hAnsi="Garamond" w:cs="Garamond"/>
          <w:i/>
          <w:color w:val="000000"/>
        </w:rPr>
        <w:t>Fazlur Rahman</w:t>
      </w:r>
      <w:r w:rsidR="00C3628A" w:rsidRPr="00060A7D">
        <w:rPr>
          <w:rFonts w:ascii="Garamond" w:eastAsia="Garamond" w:hAnsi="Garamond" w:cs="Garamond"/>
          <w:i/>
          <w:color w:val="000000"/>
        </w:rPr>
        <w:t>;</w:t>
      </w:r>
      <w:r w:rsidR="00B20506" w:rsidRPr="00060A7D">
        <w:rPr>
          <w:rFonts w:ascii="Garamond" w:eastAsia="Garamond" w:hAnsi="Garamond" w:cs="Garamond"/>
          <w:i/>
          <w:color w:val="000000"/>
        </w:rPr>
        <w:t xml:space="preserve"> Al-</w:t>
      </w:r>
      <w:proofErr w:type="spellStart"/>
      <w:r w:rsidR="00B20506" w:rsidRPr="00060A7D">
        <w:rPr>
          <w:rFonts w:ascii="Garamond" w:eastAsia="Garamond" w:hAnsi="Garamond" w:cs="Garamond"/>
          <w:i/>
          <w:color w:val="000000"/>
        </w:rPr>
        <w:t>Qur’an</w:t>
      </w:r>
      <w:proofErr w:type="spellEnd"/>
      <w:r w:rsidR="00C3628A" w:rsidRPr="00060A7D">
        <w:rPr>
          <w:rFonts w:ascii="Garamond" w:eastAsia="Garamond" w:hAnsi="Garamond" w:cs="Garamond"/>
          <w:i/>
          <w:color w:val="000000"/>
        </w:rPr>
        <w:t>;</w:t>
      </w:r>
      <w:r w:rsidR="00B20506" w:rsidRPr="00060A7D">
        <w:rPr>
          <w:rFonts w:ascii="Garamond" w:eastAsia="Garamond" w:hAnsi="Garamond" w:cs="Garamond"/>
          <w:i/>
          <w:color w:val="000000"/>
        </w:rPr>
        <w:t xml:space="preserve"> </w:t>
      </w:r>
      <w:r w:rsidR="000971CB" w:rsidRPr="00060A7D">
        <w:rPr>
          <w:rFonts w:ascii="Garamond" w:eastAsia="Garamond" w:hAnsi="Garamond" w:cs="Garamond"/>
          <w:i/>
          <w:color w:val="000000"/>
          <w:lang w:val="en-US"/>
        </w:rPr>
        <w:t>Tafsir</w:t>
      </w:r>
      <w:r w:rsidR="000971CB" w:rsidRPr="00060A7D">
        <w:rPr>
          <w:rFonts w:ascii="Garamond" w:eastAsia="Garamond" w:hAnsi="Garamond" w:cs="Garamond"/>
          <w:i/>
          <w:color w:val="000000"/>
        </w:rPr>
        <w:t>.</w:t>
      </w:r>
    </w:p>
    <w:p w14:paraId="36DAF27D" w14:textId="72D97F50" w:rsidR="00BD3F63" w:rsidRPr="00060A7D" w:rsidRDefault="006F1621" w:rsidP="00060A7D">
      <w:pPr>
        <w:widowControl w:val="0"/>
        <w:pBdr>
          <w:top w:val="nil"/>
          <w:left w:val="nil"/>
          <w:bottom w:val="nil"/>
          <w:right w:val="nil"/>
          <w:between w:val="nil"/>
        </w:pBdr>
        <w:spacing w:after="0" w:line="360" w:lineRule="auto"/>
        <w:jc w:val="both"/>
        <w:rPr>
          <w:rFonts w:ascii="Garamond" w:eastAsia="Garamond" w:hAnsi="Garamond" w:cs="Garamond"/>
          <w:b/>
          <w:color w:val="000000"/>
          <w:sz w:val="24"/>
          <w:szCs w:val="24"/>
        </w:rPr>
      </w:pPr>
      <w:r w:rsidRPr="00060A7D">
        <w:rPr>
          <w:rFonts w:ascii="Garamond" w:eastAsia="Garamond" w:hAnsi="Garamond" w:cs="Garamond"/>
          <w:b/>
          <w:color w:val="000000"/>
          <w:sz w:val="24"/>
          <w:szCs w:val="24"/>
        </w:rPr>
        <w:t>P</w:t>
      </w:r>
      <w:r w:rsidRPr="00060A7D">
        <w:rPr>
          <w:rFonts w:ascii="Garamond" w:eastAsia="Garamond" w:hAnsi="Garamond" w:cs="Garamond"/>
          <w:b/>
          <w:sz w:val="24"/>
          <w:szCs w:val="24"/>
        </w:rPr>
        <w:t>endahuluan</w:t>
      </w:r>
    </w:p>
    <w:p w14:paraId="3F740BCD" w14:textId="14E4D9FE" w:rsidR="00BA2585" w:rsidRDefault="00E0795C" w:rsidP="00060A7D">
      <w:pPr>
        <w:pStyle w:val="NoSpacing"/>
        <w:spacing w:line="360" w:lineRule="auto"/>
        <w:ind w:firstLine="851"/>
        <w:jc w:val="both"/>
        <w:rPr>
          <w:rFonts w:ascii="Garamond" w:hAnsi="Garamond"/>
          <w:sz w:val="24"/>
          <w:szCs w:val="24"/>
        </w:rPr>
        <w:sectPr w:rsidR="00BA2585" w:rsidSect="00FA0D15">
          <w:headerReference w:type="even" r:id="rId10"/>
          <w:headerReference w:type="default" r:id="rId11"/>
          <w:footerReference w:type="even" r:id="rId12"/>
          <w:footerReference w:type="default" r:id="rId13"/>
          <w:headerReference w:type="first" r:id="rId14"/>
          <w:footerReference w:type="first" r:id="rId15"/>
          <w:pgSz w:w="11907" w:h="16840"/>
          <w:pgMar w:top="1701" w:right="1701" w:bottom="1701" w:left="1701" w:header="510" w:footer="1021" w:gutter="0"/>
          <w:pgNumType w:start="110"/>
          <w:cols w:space="720"/>
          <w:docGrid w:linePitch="299"/>
        </w:sectPr>
      </w:pPr>
      <w:r w:rsidRPr="00060A7D">
        <w:rPr>
          <w:rFonts w:ascii="Garamond" w:hAnsi="Garamond"/>
          <w:sz w:val="24"/>
          <w:szCs w:val="24"/>
        </w:rPr>
        <w:t xml:space="preserve">Al-Qur’an </w:t>
      </w:r>
      <w:proofErr w:type="spellStart"/>
      <w:r w:rsidRPr="00060A7D">
        <w:rPr>
          <w:rFonts w:ascii="Garamond" w:hAnsi="Garamond"/>
          <w:sz w:val="24"/>
          <w:szCs w:val="24"/>
        </w:rPr>
        <w:t>sebagai</w:t>
      </w:r>
      <w:proofErr w:type="spellEnd"/>
      <w:r w:rsidRPr="00060A7D">
        <w:rPr>
          <w:rFonts w:ascii="Garamond" w:hAnsi="Garamond"/>
          <w:sz w:val="24"/>
          <w:szCs w:val="24"/>
        </w:rPr>
        <w:t xml:space="preserve"> </w:t>
      </w:r>
      <w:proofErr w:type="spellStart"/>
      <w:r w:rsidRPr="00060A7D">
        <w:rPr>
          <w:rFonts w:ascii="Garamond" w:hAnsi="Garamond"/>
          <w:sz w:val="24"/>
          <w:szCs w:val="24"/>
        </w:rPr>
        <w:t>sumber</w:t>
      </w:r>
      <w:proofErr w:type="spellEnd"/>
      <w:r w:rsidRPr="00060A7D">
        <w:rPr>
          <w:rFonts w:ascii="Garamond" w:hAnsi="Garamond"/>
          <w:sz w:val="24"/>
          <w:szCs w:val="24"/>
        </w:rPr>
        <w:t xml:space="preserve"> </w:t>
      </w:r>
      <w:proofErr w:type="spellStart"/>
      <w:r w:rsidRPr="00060A7D">
        <w:rPr>
          <w:rFonts w:ascii="Garamond" w:hAnsi="Garamond"/>
          <w:sz w:val="24"/>
          <w:szCs w:val="24"/>
        </w:rPr>
        <w:t>utama</w:t>
      </w:r>
      <w:proofErr w:type="spellEnd"/>
      <w:r w:rsidRPr="00060A7D">
        <w:rPr>
          <w:rFonts w:ascii="Garamond" w:hAnsi="Garamond"/>
          <w:sz w:val="24"/>
          <w:szCs w:val="24"/>
        </w:rPr>
        <w:t xml:space="preserve"> </w:t>
      </w:r>
      <w:proofErr w:type="spellStart"/>
      <w:r w:rsidRPr="00060A7D">
        <w:rPr>
          <w:rFonts w:ascii="Garamond" w:hAnsi="Garamond"/>
          <w:sz w:val="24"/>
          <w:szCs w:val="24"/>
        </w:rPr>
        <w:t>ajaran</w:t>
      </w:r>
      <w:proofErr w:type="spellEnd"/>
      <w:r w:rsidRPr="00060A7D">
        <w:rPr>
          <w:rFonts w:ascii="Garamond" w:hAnsi="Garamond"/>
          <w:sz w:val="24"/>
          <w:szCs w:val="24"/>
        </w:rPr>
        <w:t xml:space="preserve"> Islam </w:t>
      </w:r>
      <w:proofErr w:type="spellStart"/>
      <w:r w:rsidRPr="00060A7D">
        <w:rPr>
          <w:rFonts w:ascii="Garamond" w:hAnsi="Garamond"/>
          <w:sz w:val="24"/>
          <w:szCs w:val="24"/>
        </w:rPr>
        <w:t>tidak</w:t>
      </w:r>
      <w:proofErr w:type="spellEnd"/>
      <w:r w:rsidRPr="00060A7D">
        <w:rPr>
          <w:rFonts w:ascii="Garamond" w:hAnsi="Garamond"/>
          <w:sz w:val="24"/>
          <w:szCs w:val="24"/>
        </w:rPr>
        <w:t xml:space="preserve"> </w:t>
      </w:r>
      <w:proofErr w:type="spellStart"/>
      <w:r w:rsidRPr="00060A7D">
        <w:rPr>
          <w:rFonts w:ascii="Garamond" w:hAnsi="Garamond"/>
          <w:sz w:val="24"/>
          <w:szCs w:val="24"/>
        </w:rPr>
        <w:t>hanya</w:t>
      </w:r>
      <w:proofErr w:type="spellEnd"/>
      <w:r w:rsidRPr="00060A7D">
        <w:rPr>
          <w:rFonts w:ascii="Garamond" w:hAnsi="Garamond"/>
          <w:sz w:val="24"/>
          <w:szCs w:val="24"/>
        </w:rPr>
        <w:t xml:space="preserve"> </w:t>
      </w:r>
      <w:proofErr w:type="spellStart"/>
      <w:r w:rsidRPr="00060A7D">
        <w:rPr>
          <w:rFonts w:ascii="Garamond" w:hAnsi="Garamond"/>
          <w:sz w:val="24"/>
          <w:szCs w:val="24"/>
        </w:rPr>
        <w:t>memuat</w:t>
      </w:r>
      <w:proofErr w:type="spellEnd"/>
      <w:r w:rsidRPr="00060A7D">
        <w:rPr>
          <w:rFonts w:ascii="Garamond" w:hAnsi="Garamond"/>
          <w:sz w:val="24"/>
          <w:szCs w:val="24"/>
        </w:rPr>
        <w:t xml:space="preserve"> </w:t>
      </w:r>
      <w:proofErr w:type="spellStart"/>
      <w:r w:rsidRPr="00060A7D">
        <w:rPr>
          <w:rFonts w:ascii="Garamond" w:hAnsi="Garamond"/>
          <w:sz w:val="24"/>
          <w:szCs w:val="24"/>
        </w:rPr>
        <w:t>nilai-nilai</w:t>
      </w:r>
      <w:proofErr w:type="spellEnd"/>
      <w:r w:rsidRPr="00060A7D">
        <w:rPr>
          <w:rFonts w:ascii="Garamond" w:hAnsi="Garamond"/>
          <w:sz w:val="24"/>
          <w:szCs w:val="24"/>
        </w:rPr>
        <w:t xml:space="preserve"> spiritual dan </w:t>
      </w:r>
      <w:proofErr w:type="spellStart"/>
      <w:r w:rsidRPr="00060A7D">
        <w:rPr>
          <w:rFonts w:ascii="Garamond" w:hAnsi="Garamond"/>
          <w:sz w:val="24"/>
          <w:szCs w:val="24"/>
        </w:rPr>
        <w:t>teologis</w:t>
      </w:r>
      <w:proofErr w:type="spellEnd"/>
      <w:r w:rsidRPr="00060A7D">
        <w:rPr>
          <w:rFonts w:ascii="Garamond" w:hAnsi="Garamond"/>
          <w:sz w:val="24"/>
          <w:szCs w:val="24"/>
        </w:rPr>
        <w:t xml:space="preserve">, </w:t>
      </w:r>
      <w:proofErr w:type="spellStart"/>
      <w:r w:rsidRPr="00060A7D">
        <w:rPr>
          <w:rFonts w:ascii="Garamond" w:hAnsi="Garamond"/>
          <w:sz w:val="24"/>
          <w:szCs w:val="24"/>
        </w:rPr>
        <w:t>tetapi</w:t>
      </w:r>
      <w:proofErr w:type="spellEnd"/>
      <w:r w:rsidRPr="00060A7D">
        <w:rPr>
          <w:rFonts w:ascii="Garamond" w:hAnsi="Garamond"/>
          <w:sz w:val="24"/>
          <w:szCs w:val="24"/>
        </w:rPr>
        <w:t xml:space="preserve"> juga </w:t>
      </w:r>
      <w:proofErr w:type="spellStart"/>
      <w:r w:rsidRPr="00060A7D">
        <w:rPr>
          <w:rFonts w:ascii="Garamond" w:hAnsi="Garamond"/>
          <w:sz w:val="24"/>
          <w:szCs w:val="24"/>
        </w:rPr>
        <w:t>mengandung</w:t>
      </w:r>
      <w:proofErr w:type="spellEnd"/>
      <w:r w:rsidRPr="00060A7D">
        <w:rPr>
          <w:rFonts w:ascii="Garamond" w:hAnsi="Garamond"/>
          <w:sz w:val="24"/>
          <w:szCs w:val="24"/>
        </w:rPr>
        <w:t xml:space="preserve"> </w:t>
      </w:r>
      <w:proofErr w:type="spellStart"/>
      <w:r w:rsidRPr="00060A7D">
        <w:rPr>
          <w:rFonts w:ascii="Garamond" w:hAnsi="Garamond"/>
          <w:sz w:val="24"/>
          <w:szCs w:val="24"/>
        </w:rPr>
        <w:t>prinsip-prinsip</w:t>
      </w:r>
      <w:proofErr w:type="spellEnd"/>
      <w:r w:rsidRPr="00060A7D">
        <w:rPr>
          <w:rFonts w:ascii="Garamond" w:hAnsi="Garamond"/>
          <w:sz w:val="24"/>
          <w:szCs w:val="24"/>
        </w:rPr>
        <w:t xml:space="preserve"> </w:t>
      </w:r>
      <w:proofErr w:type="spellStart"/>
      <w:r w:rsidRPr="00060A7D">
        <w:rPr>
          <w:rFonts w:ascii="Garamond" w:hAnsi="Garamond"/>
          <w:sz w:val="24"/>
          <w:szCs w:val="24"/>
        </w:rPr>
        <w:t>etika</w:t>
      </w:r>
      <w:proofErr w:type="spellEnd"/>
      <w:r w:rsidRPr="00060A7D">
        <w:rPr>
          <w:rFonts w:ascii="Garamond" w:hAnsi="Garamond"/>
          <w:sz w:val="24"/>
          <w:szCs w:val="24"/>
        </w:rPr>
        <w:t xml:space="preserve"> dan </w:t>
      </w:r>
      <w:proofErr w:type="spellStart"/>
      <w:r w:rsidRPr="00060A7D">
        <w:rPr>
          <w:rFonts w:ascii="Garamond" w:hAnsi="Garamond"/>
          <w:sz w:val="24"/>
          <w:szCs w:val="24"/>
        </w:rPr>
        <w:t>hukum</w:t>
      </w:r>
      <w:proofErr w:type="spellEnd"/>
      <w:r w:rsidRPr="00060A7D">
        <w:rPr>
          <w:rFonts w:ascii="Garamond" w:hAnsi="Garamond"/>
          <w:sz w:val="24"/>
          <w:szCs w:val="24"/>
        </w:rPr>
        <w:t xml:space="preserve"> yang </w:t>
      </w:r>
      <w:proofErr w:type="spellStart"/>
      <w:r w:rsidRPr="00060A7D">
        <w:rPr>
          <w:rFonts w:ascii="Garamond" w:hAnsi="Garamond"/>
          <w:sz w:val="24"/>
          <w:szCs w:val="24"/>
        </w:rPr>
        <w:t>menjadi</w:t>
      </w:r>
      <w:proofErr w:type="spellEnd"/>
      <w:r w:rsidRPr="00060A7D">
        <w:rPr>
          <w:rFonts w:ascii="Garamond" w:hAnsi="Garamond"/>
          <w:sz w:val="24"/>
          <w:szCs w:val="24"/>
        </w:rPr>
        <w:t xml:space="preserve"> </w:t>
      </w:r>
      <w:proofErr w:type="spellStart"/>
      <w:proofErr w:type="gramStart"/>
      <w:r w:rsidRPr="00060A7D">
        <w:rPr>
          <w:rFonts w:ascii="Garamond" w:hAnsi="Garamond"/>
          <w:sz w:val="24"/>
          <w:szCs w:val="24"/>
        </w:rPr>
        <w:t>landasan</w:t>
      </w:r>
      <w:proofErr w:type="spellEnd"/>
      <w:r w:rsidR="00BA2585">
        <w:rPr>
          <w:rFonts w:ascii="Garamond" w:hAnsi="Garamond"/>
          <w:sz w:val="24"/>
          <w:szCs w:val="24"/>
        </w:rPr>
        <w:t xml:space="preserve"> </w:t>
      </w:r>
      <w:r w:rsidRPr="00060A7D">
        <w:rPr>
          <w:rFonts w:ascii="Garamond" w:hAnsi="Garamond"/>
          <w:sz w:val="24"/>
          <w:szCs w:val="24"/>
        </w:rPr>
        <w:t xml:space="preserve"> </w:t>
      </w:r>
      <w:proofErr w:type="spellStart"/>
      <w:r w:rsidRPr="00060A7D">
        <w:rPr>
          <w:rFonts w:ascii="Garamond" w:hAnsi="Garamond"/>
          <w:sz w:val="24"/>
          <w:szCs w:val="24"/>
        </w:rPr>
        <w:t>dalam</w:t>
      </w:r>
      <w:proofErr w:type="spellEnd"/>
      <w:proofErr w:type="gramEnd"/>
      <w:r w:rsidRPr="00060A7D">
        <w:rPr>
          <w:rFonts w:ascii="Garamond" w:hAnsi="Garamond"/>
          <w:sz w:val="24"/>
          <w:szCs w:val="24"/>
        </w:rPr>
        <w:t xml:space="preserve"> </w:t>
      </w:r>
      <w:r w:rsidR="00BA2585">
        <w:rPr>
          <w:rFonts w:ascii="Garamond" w:hAnsi="Garamond"/>
          <w:sz w:val="24"/>
          <w:szCs w:val="24"/>
        </w:rPr>
        <w:t xml:space="preserve"> </w:t>
      </w:r>
      <w:proofErr w:type="spellStart"/>
      <w:r w:rsidRPr="00060A7D">
        <w:rPr>
          <w:rFonts w:ascii="Garamond" w:hAnsi="Garamond"/>
          <w:sz w:val="24"/>
          <w:szCs w:val="24"/>
        </w:rPr>
        <w:t>membangun</w:t>
      </w:r>
      <w:proofErr w:type="spellEnd"/>
      <w:r w:rsidRPr="00060A7D">
        <w:rPr>
          <w:rFonts w:ascii="Garamond" w:hAnsi="Garamond"/>
          <w:sz w:val="24"/>
          <w:szCs w:val="24"/>
        </w:rPr>
        <w:t xml:space="preserve"> </w:t>
      </w:r>
      <w:r w:rsidR="00BA2585">
        <w:rPr>
          <w:rFonts w:ascii="Garamond" w:hAnsi="Garamond"/>
          <w:sz w:val="24"/>
          <w:szCs w:val="24"/>
        </w:rPr>
        <w:t xml:space="preserve"> </w:t>
      </w:r>
      <w:proofErr w:type="spellStart"/>
      <w:r w:rsidRPr="00060A7D">
        <w:rPr>
          <w:rFonts w:ascii="Garamond" w:hAnsi="Garamond"/>
          <w:sz w:val="24"/>
          <w:szCs w:val="24"/>
        </w:rPr>
        <w:t>masyarakat</w:t>
      </w:r>
      <w:proofErr w:type="spellEnd"/>
      <w:r w:rsidRPr="00060A7D">
        <w:rPr>
          <w:rFonts w:ascii="Garamond" w:hAnsi="Garamond"/>
          <w:sz w:val="24"/>
          <w:szCs w:val="24"/>
        </w:rPr>
        <w:t xml:space="preserve"> yang </w:t>
      </w:r>
      <w:proofErr w:type="spellStart"/>
      <w:r w:rsidRPr="00060A7D">
        <w:rPr>
          <w:rFonts w:ascii="Garamond" w:hAnsi="Garamond"/>
          <w:sz w:val="24"/>
          <w:szCs w:val="24"/>
        </w:rPr>
        <w:t>adil</w:t>
      </w:r>
      <w:proofErr w:type="spellEnd"/>
      <w:r w:rsidRPr="00060A7D">
        <w:rPr>
          <w:rFonts w:ascii="Garamond" w:hAnsi="Garamond"/>
          <w:sz w:val="24"/>
          <w:szCs w:val="24"/>
        </w:rPr>
        <w:t xml:space="preserve"> dan </w:t>
      </w:r>
      <w:proofErr w:type="spellStart"/>
      <w:r w:rsidRPr="00060A7D">
        <w:rPr>
          <w:rFonts w:ascii="Garamond" w:hAnsi="Garamond"/>
          <w:sz w:val="24"/>
          <w:szCs w:val="24"/>
        </w:rPr>
        <w:t>beradab</w:t>
      </w:r>
      <w:proofErr w:type="spellEnd"/>
      <w:r w:rsidRPr="00060A7D">
        <w:rPr>
          <w:rFonts w:ascii="Garamond" w:hAnsi="Garamond"/>
          <w:sz w:val="24"/>
          <w:szCs w:val="24"/>
        </w:rPr>
        <w:t xml:space="preserve">. </w:t>
      </w:r>
      <w:proofErr w:type="spellStart"/>
      <w:r w:rsidRPr="00060A7D">
        <w:rPr>
          <w:rFonts w:ascii="Garamond" w:hAnsi="Garamond"/>
          <w:sz w:val="24"/>
          <w:szCs w:val="24"/>
        </w:rPr>
        <w:t>Namun</w:t>
      </w:r>
      <w:proofErr w:type="spellEnd"/>
      <w:r w:rsidRPr="00060A7D">
        <w:rPr>
          <w:rFonts w:ascii="Garamond" w:hAnsi="Garamond"/>
          <w:sz w:val="24"/>
          <w:szCs w:val="24"/>
        </w:rPr>
        <w:t xml:space="preserve">, </w:t>
      </w:r>
      <w:proofErr w:type="spellStart"/>
      <w:r w:rsidRPr="00060A7D">
        <w:rPr>
          <w:rFonts w:ascii="Garamond" w:hAnsi="Garamond"/>
          <w:sz w:val="24"/>
          <w:szCs w:val="24"/>
        </w:rPr>
        <w:t>dalam</w:t>
      </w:r>
      <w:proofErr w:type="spellEnd"/>
      <w:r w:rsidRPr="00060A7D">
        <w:rPr>
          <w:rFonts w:ascii="Garamond" w:hAnsi="Garamond"/>
          <w:sz w:val="24"/>
          <w:szCs w:val="24"/>
        </w:rPr>
        <w:t xml:space="preserve"> </w:t>
      </w:r>
      <w:proofErr w:type="spellStart"/>
      <w:r w:rsidRPr="00060A7D">
        <w:rPr>
          <w:rFonts w:ascii="Garamond" w:hAnsi="Garamond"/>
          <w:sz w:val="24"/>
          <w:szCs w:val="24"/>
        </w:rPr>
        <w:t>realitasnya</w:t>
      </w:r>
      <w:proofErr w:type="spellEnd"/>
      <w:r w:rsidRPr="00060A7D">
        <w:rPr>
          <w:rFonts w:ascii="Garamond" w:hAnsi="Garamond"/>
          <w:sz w:val="24"/>
          <w:szCs w:val="24"/>
        </w:rPr>
        <w:t xml:space="preserve">, </w:t>
      </w:r>
    </w:p>
    <w:p w14:paraId="0512B944" w14:textId="199248CE" w:rsidR="00E0795C" w:rsidRPr="00060A7D" w:rsidRDefault="00E0795C" w:rsidP="00BA2585">
      <w:pPr>
        <w:pStyle w:val="NoSpacing"/>
        <w:spacing w:line="360" w:lineRule="auto"/>
        <w:jc w:val="both"/>
        <w:rPr>
          <w:rFonts w:ascii="Garamond" w:hAnsi="Garamond"/>
          <w:sz w:val="24"/>
          <w:szCs w:val="24"/>
        </w:rPr>
      </w:pPr>
      <w:proofErr w:type="spellStart"/>
      <w:r w:rsidRPr="00060A7D">
        <w:rPr>
          <w:rFonts w:ascii="Garamond" w:hAnsi="Garamond"/>
          <w:sz w:val="24"/>
          <w:szCs w:val="24"/>
        </w:rPr>
        <w:lastRenderedPageBreak/>
        <w:t>penafsiran</w:t>
      </w:r>
      <w:proofErr w:type="spellEnd"/>
      <w:r w:rsidRPr="00060A7D">
        <w:rPr>
          <w:rFonts w:ascii="Garamond" w:hAnsi="Garamond"/>
          <w:sz w:val="24"/>
          <w:szCs w:val="24"/>
        </w:rPr>
        <w:t xml:space="preserve"> </w:t>
      </w:r>
      <w:proofErr w:type="spellStart"/>
      <w:r w:rsidRPr="00060A7D">
        <w:rPr>
          <w:rFonts w:ascii="Garamond" w:hAnsi="Garamond"/>
          <w:sz w:val="24"/>
          <w:szCs w:val="24"/>
        </w:rPr>
        <w:t>terhadap</w:t>
      </w:r>
      <w:proofErr w:type="spellEnd"/>
      <w:r w:rsidRPr="00060A7D">
        <w:rPr>
          <w:rFonts w:ascii="Garamond" w:hAnsi="Garamond"/>
          <w:sz w:val="24"/>
          <w:szCs w:val="24"/>
        </w:rPr>
        <w:t xml:space="preserve"> </w:t>
      </w:r>
      <w:proofErr w:type="spellStart"/>
      <w:r w:rsidRPr="00060A7D">
        <w:rPr>
          <w:rFonts w:ascii="Garamond" w:hAnsi="Garamond"/>
          <w:sz w:val="24"/>
          <w:szCs w:val="24"/>
        </w:rPr>
        <w:t>ayat-ayat</w:t>
      </w:r>
      <w:proofErr w:type="spellEnd"/>
      <w:r w:rsidRPr="00060A7D">
        <w:rPr>
          <w:rFonts w:ascii="Garamond" w:hAnsi="Garamond"/>
          <w:sz w:val="24"/>
          <w:szCs w:val="24"/>
        </w:rPr>
        <w:t xml:space="preserve"> </w:t>
      </w:r>
      <w:proofErr w:type="spellStart"/>
      <w:r w:rsidRPr="00060A7D">
        <w:rPr>
          <w:rFonts w:ascii="Garamond" w:hAnsi="Garamond"/>
          <w:sz w:val="24"/>
          <w:szCs w:val="24"/>
        </w:rPr>
        <w:t>hukum</w:t>
      </w:r>
      <w:proofErr w:type="spellEnd"/>
      <w:r w:rsidRPr="00060A7D">
        <w:rPr>
          <w:rFonts w:ascii="Garamond" w:hAnsi="Garamond"/>
          <w:sz w:val="24"/>
          <w:szCs w:val="24"/>
        </w:rPr>
        <w:t xml:space="preserve"> </w:t>
      </w:r>
      <w:proofErr w:type="spellStart"/>
      <w:r w:rsidRPr="00060A7D">
        <w:rPr>
          <w:rFonts w:ascii="Garamond" w:hAnsi="Garamond"/>
          <w:sz w:val="24"/>
          <w:szCs w:val="24"/>
        </w:rPr>
        <w:t>dalam</w:t>
      </w:r>
      <w:proofErr w:type="spellEnd"/>
      <w:r w:rsidRPr="00060A7D">
        <w:rPr>
          <w:rFonts w:ascii="Garamond" w:hAnsi="Garamond"/>
          <w:sz w:val="24"/>
          <w:szCs w:val="24"/>
        </w:rPr>
        <w:t xml:space="preserve"> Al-Qur’an </w:t>
      </w:r>
      <w:proofErr w:type="spellStart"/>
      <w:r w:rsidRPr="00060A7D">
        <w:rPr>
          <w:rFonts w:ascii="Garamond" w:hAnsi="Garamond"/>
          <w:sz w:val="24"/>
          <w:szCs w:val="24"/>
        </w:rPr>
        <w:t>tidak</w:t>
      </w:r>
      <w:proofErr w:type="spellEnd"/>
      <w:r w:rsidRPr="00060A7D">
        <w:rPr>
          <w:rFonts w:ascii="Garamond" w:hAnsi="Garamond"/>
          <w:sz w:val="24"/>
          <w:szCs w:val="24"/>
        </w:rPr>
        <w:t xml:space="preserve"> </w:t>
      </w:r>
      <w:proofErr w:type="spellStart"/>
      <w:r w:rsidRPr="00060A7D">
        <w:rPr>
          <w:rFonts w:ascii="Garamond" w:hAnsi="Garamond"/>
          <w:sz w:val="24"/>
          <w:szCs w:val="24"/>
        </w:rPr>
        <w:t>jarang</w:t>
      </w:r>
      <w:proofErr w:type="spellEnd"/>
      <w:r w:rsidRPr="00060A7D">
        <w:rPr>
          <w:rFonts w:ascii="Garamond" w:hAnsi="Garamond"/>
          <w:sz w:val="24"/>
          <w:szCs w:val="24"/>
        </w:rPr>
        <w:t xml:space="preserve"> </w:t>
      </w:r>
      <w:proofErr w:type="spellStart"/>
      <w:r w:rsidRPr="00060A7D">
        <w:rPr>
          <w:rFonts w:ascii="Garamond" w:hAnsi="Garamond"/>
          <w:sz w:val="24"/>
          <w:szCs w:val="24"/>
        </w:rPr>
        <w:t>menimbulkan</w:t>
      </w:r>
      <w:proofErr w:type="spellEnd"/>
      <w:r w:rsidRPr="00060A7D">
        <w:rPr>
          <w:rFonts w:ascii="Garamond" w:hAnsi="Garamond"/>
          <w:sz w:val="24"/>
          <w:szCs w:val="24"/>
        </w:rPr>
        <w:t xml:space="preserve"> </w:t>
      </w:r>
      <w:proofErr w:type="spellStart"/>
      <w:r w:rsidRPr="00060A7D">
        <w:rPr>
          <w:rFonts w:ascii="Garamond" w:hAnsi="Garamond"/>
          <w:sz w:val="24"/>
          <w:szCs w:val="24"/>
        </w:rPr>
        <w:t>perbedaan</w:t>
      </w:r>
      <w:proofErr w:type="spellEnd"/>
      <w:r w:rsidRPr="00060A7D">
        <w:rPr>
          <w:rFonts w:ascii="Garamond" w:hAnsi="Garamond"/>
          <w:sz w:val="24"/>
          <w:szCs w:val="24"/>
        </w:rPr>
        <w:t xml:space="preserve"> </w:t>
      </w:r>
      <w:proofErr w:type="spellStart"/>
      <w:r w:rsidRPr="00060A7D">
        <w:rPr>
          <w:rFonts w:ascii="Garamond" w:hAnsi="Garamond"/>
          <w:sz w:val="24"/>
          <w:szCs w:val="24"/>
        </w:rPr>
        <w:t>pemahaman</w:t>
      </w:r>
      <w:proofErr w:type="spellEnd"/>
      <w:r w:rsidRPr="00060A7D">
        <w:rPr>
          <w:rFonts w:ascii="Garamond" w:hAnsi="Garamond"/>
          <w:sz w:val="24"/>
          <w:szCs w:val="24"/>
        </w:rPr>
        <w:t xml:space="preserve"> </w:t>
      </w:r>
      <w:proofErr w:type="spellStart"/>
      <w:r w:rsidRPr="00060A7D">
        <w:rPr>
          <w:rFonts w:ascii="Garamond" w:hAnsi="Garamond"/>
          <w:sz w:val="24"/>
          <w:szCs w:val="24"/>
        </w:rPr>
        <w:t>bahkan</w:t>
      </w:r>
      <w:proofErr w:type="spellEnd"/>
      <w:r w:rsidRPr="00060A7D">
        <w:rPr>
          <w:rFonts w:ascii="Garamond" w:hAnsi="Garamond"/>
          <w:sz w:val="24"/>
          <w:szCs w:val="24"/>
        </w:rPr>
        <w:t xml:space="preserve"> </w:t>
      </w:r>
      <w:proofErr w:type="spellStart"/>
      <w:r w:rsidRPr="00060A7D">
        <w:rPr>
          <w:rFonts w:ascii="Garamond" w:hAnsi="Garamond"/>
          <w:sz w:val="24"/>
          <w:szCs w:val="24"/>
        </w:rPr>
        <w:t>kontroversi</w:t>
      </w:r>
      <w:proofErr w:type="spellEnd"/>
      <w:r w:rsidRPr="00060A7D">
        <w:rPr>
          <w:rFonts w:ascii="Garamond" w:hAnsi="Garamond"/>
          <w:sz w:val="24"/>
          <w:szCs w:val="24"/>
        </w:rPr>
        <w:t xml:space="preserve">, </w:t>
      </w:r>
      <w:proofErr w:type="spellStart"/>
      <w:r w:rsidRPr="00060A7D">
        <w:rPr>
          <w:rFonts w:ascii="Garamond" w:hAnsi="Garamond"/>
          <w:sz w:val="24"/>
          <w:szCs w:val="24"/>
        </w:rPr>
        <w:t>terutama</w:t>
      </w:r>
      <w:proofErr w:type="spellEnd"/>
      <w:r w:rsidRPr="00060A7D">
        <w:rPr>
          <w:rFonts w:ascii="Garamond" w:hAnsi="Garamond"/>
          <w:sz w:val="24"/>
          <w:szCs w:val="24"/>
        </w:rPr>
        <w:t xml:space="preserve"> </w:t>
      </w:r>
      <w:proofErr w:type="spellStart"/>
      <w:r w:rsidRPr="00060A7D">
        <w:rPr>
          <w:rFonts w:ascii="Garamond" w:hAnsi="Garamond"/>
          <w:sz w:val="24"/>
          <w:szCs w:val="24"/>
        </w:rPr>
        <w:t>ketika</w:t>
      </w:r>
      <w:proofErr w:type="spellEnd"/>
      <w:r w:rsidRPr="00060A7D">
        <w:rPr>
          <w:rFonts w:ascii="Garamond" w:hAnsi="Garamond"/>
          <w:sz w:val="24"/>
          <w:szCs w:val="24"/>
        </w:rPr>
        <w:t xml:space="preserve"> </w:t>
      </w:r>
      <w:proofErr w:type="spellStart"/>
      <w:r w:rsidRPr="00060A7D">
        <w:rPr>
          <w:rFonts w:ascii="Garamond" w:hAnsi="Garamond"/>
          <w:sz w:val="24"/>
          <w:szCs w:val="24"/>
        </w:rPr>
        <w:t>dihadapkan</w:t>
      </w:r>
      <w:proofErr w:type="spellEnd"/>
      <w:r w:rsidRPr="00060A7D">
        <w:rPr>
          <w:rFonts w:ascii="Garamond" w:hAnsi="Garamond"/>
          <w:sz w:val="24"/>
          <w:szCs w:val="24"/>
        </w:rPr>
        <w:t xml:space="preserve"> pada </w:t>
      </w:r>
      <w:proofErr w:type="spellStart"/>
      <w:r w:rsidRPr="00060A7D">
        <w:rPr>
          <w:rFonts w:ascii="Garamond" w:hAnsi="Garamond"/>
          <w:sz w:val="24"/>
          <w:szCs w:val="24"/>
        </w:rPr>
        <w:t>persoalan-persoalan</w:t>
      </w:r>
      <w:proofErr w:type="spellEnd"/>
      <w:r w:rsidRPr="00060A7D">
        <w:rPr>
          <w:rFonts w:ascii="Garamond" w:hAnsi="Garamond"/>
          <w:sz w:val="24"/>
          <w:szCs w:val="24"/>
        </w:rPr>
        <w:t xml:space="preserve"> </w:t>
      </w:r>
      <w:proofErr w:type="spellStart"/>
      <w:r w:rsidRPr="00060A7D">
        <w:rPr>
          <w:rFonts w:ascii="Garamond" w:hAnsi="Garamond"/>
          <w:sz w:val="24"/>
          <w:szCs w:val="24"/>
        </w:rPr>
        <w:t>sosial</w:t>
      </w:r>
      <w:proofErr w:type="spellEnd"/>
      <w:r w:rsidRPr="00060A7D">
        <w:rPr>
          <w:rFonts w:ascii="Garamond" w:hAnsi="Garamond"/>
          <w:sz w:val="24"/>
          <w:szCs w:val="24"/>
        </w:rPr>
        <w:t xml:space="preserve"> yang </w:t>
      </w:r>
      <w:proofErr w:type="spellStart"/>
      <w:r w:rsidRPr="00060A7D">
        <w:rPr>
          <w:rFonts w:ascii="Garamond" w:hAnsi="Garamond"/>
          <w:sz w:val="24"/>
          <w:szCs w:val="24"/>
        </w:rPr>
        <w:t>terus</w:t>
      </w:r>
      <w:proofErr w:type="spellEnd"/>
      <w:r w:rsidRPr="00060A7D">
        <w:rPr>
          <w:rFonts w:ascii="Garamond" w:hAnsi="Garamond"/>
          <w:sz w:val="24"/>
          <w:szCs w:val="24"/>
        </w:rPr>
        <w:t xml:space="preserve"> </w:t>
      </w:r>
      <w:proofErr w:type="spellStart"/>
      <w:r w:rsidRPr="00060A7D">
        <w:rPr>
          <w:rFonts w:ascii="Garamond" w:hAnsi="Garamond"/>
          <w:sz w:val="24"/>
          <w:szCs w:val="24"/>
        </w:rPr>
        <w:t>berkembang</w:t>
      </w:r>
      <w:proofErr w:type="spellEnd"/>
      <w:r w:rsidRPr="00060A7D">
        <w:rPr>
          <w:rFonts w:ascii="Garamond" w:hAnsi="Garamond"/>
          <w:sz w:val="24"/>
          <w:szCs w:val="24"/>
        </w:rPr>
        <w:t xml:space="preserve">. Hal </w:t>
      </w:r>
      <w:proofErr w:type="spellStart"/>
      <w:r w:rsidRPr="00060A7D">
        <w:rPr>
          <w:rFonts w:ascii="Garamond" w:hAnsi="Garamond"/>
          <w:sz w:val="24"/>
          <w:szCs w:val="24"/>
        </w:rPr>
        <w:t>ini</w:t>
      </w:r>
      <w:proofErr w:type="spellEnd"/>
      <w:r w:rsidRPr="00060A7D">
        <w:rPr>
          <w:rFonts w:ascii="Garamond" w:hAnsi="Garamond"/>
          <w:sz w:val="24"/>
          <w:szCs w:val="24"/>
        </w:rPr>
        <w:t xml:space="preserve"> </w:t>
      </w:r>
      <w:proofErr w:type="spellStart"/>
      <w:r w:rsidRPr="00060A7D">
        <w:rPr>
          <w:rFonts w:ascii="Garamond" w:hAnsi="Garamond"/>
          <w:sz w:val="24"/>
          <w:szCs w:val="24"/>
        </w:rPr>
        <w:t>menunjukkan</w:t>
      </w:r>
      <w:proofErr w:type="spellEnd"/>
      <w:r w:rsidRPr="00060A7D">
        <w:rPr>
          <w:rFonts w:ascii="Garamond" w:hAnsi="Garamond"/>
          <w:sz w:val="24"/>
          <w:szCs w:val="24"/>
        </w:rPr>
        <w:t xml:space="preserve"> </w:t>
      </w:r>
      <w:proofErr w:type="spellStart"/>
      <w:r w:rsidRPr="00060A7D">
        <w:rPr>
          <w:rFonts w:ascii="Garamond" w:hAnsi="Garamond"/>
          <w:sz w:val="24"/>
          <w:szCs w:val="24"/>
        </w:rPr>
        <w:t>bahwa</w:t>
      </w:r>
      <w:proofErr w:type="spellEnd"/>
      <w:r w:rsidRPr="00060A7D">
        <w:rPr>
          <w:rFonts w:ascii="Garamond" w:hAnsi="Garamond"/>
          <w:sz w:val="24"/>
          <w:szCs w:val="24"/>
        </w:rPr>
        <w:t xml:space="preserve"> </w:t>
      </w:r>
      <w:proofErr w:type="spellStart"/>
      <w:r w:rsidRPr="00060A7D">
        <w:rPr>
          <w:rFonts w:ascii="Garamond" w:hAnsi="Garamond"/>
          <w:sz w:val="24"/>
          <w:szCs w:val="24"/>
        </w:rPr>
        <w:t>pendekatan</w:t>
      </w:r>
      <w:proofErr w:type="spellEnd"/>
      <w:r w:rsidRPr="00060A7D">
        <w:rPr>
          <w:rFonts w:ascii="Garamond" w:hAnsi="Garamond"/>
          <w:sz w:val="24"/>
          <w:szCs w:val="24"/>
        </w:rPr>
        <w:t xml:space="preserve"> </w:t>
      </w:r>
      <w:proofErr w:type="spellStart"/>
      <w:r w:rsidRPr="00060A7D">
        <w:rPr>
          <w:rFonts w:ascii="Garamond" w:hAnsi="Garamond"/>
          <w:sz w:val="24"/>
          <w:szCs w:val="24"/>
        </w:rPr>
        <w:t>tradisional</w:t>
      </w:r>
      <w:proofErr w:type="spellEnd"/>
      <w:r w:rsidRPr="00060A7D">
        <w:rPr>
          <w:rFonts w:ascii="Garamond" w:hAnsi="Garamond"/>
          <w:sz w:val="24"/>
          <w:szCs w:val="24"/>
        </w:rPr>
        <w:t xml:space="preserve"> </w:t>
      </w:r>
      <w:proofErr w:type="spellStart"/>
      <w:r w:rsidRPr="00060A7D">
        <w:rPr>
          <w:rFonts w:ascii="Garamond" w:hAnsi="Garamond"/>
          <w:sz w:val="24"/>
          <w:szCs w:val="24"/>
        </w:rPr>
        <w:t>dalam</w:t>
      </w:r>
      <w:proofErr w:type="spellEnd"/>
      <w:r w:rsidRPr="00060A7D">
        <w:rPr>
          <w:rFonts w:ascii="Garamond" w:hAnsi="Garamond"/>
          <w:sz w:val="24"/>
          <w:szCs w:val="24"/>
        </w:rPr>
        <w:t xml:space="preserve"> </w:t>
      </w:r>
      <w:proofErr w:type="spellStart"/>
      <w:r w:rsidRPr="00060A7D">
        <w:rPr>
          <w:rFonts w:ascii="Garamond" w:hAnsi="Garamond"/>
          <w:sz w:val="24"/>
          <w:szCs w:val="24"/>
        </w:rPr>
        <w:t>memahami</w:t>
      </w:r>
      <w:proofErr w:type="spellEnd"/>
      <w:r w:rsidRPr="00060A7D">
        <w:rPr>
          <w:rFonts w:ascii="Garamond" w:hAnsi="Garamond"/>
          <w:sz w:val="24"/>
          <w:szCs w:val="24"/>
        </w:rPr>
        <w:t xml:space="preserve"> </w:t>
      </w:r>
      <w:proofErr w:type="spellStart"/>
      <w:r w:rsidRPr="00060A7D">
        <w:rPr>
          <w:rFonts w:ascii="Garamond" w:hAnsi="Garamond"/>
          <w:sz w:val="24"/>
          <w:szCs w:val="24"/>
        </w:rPr>
        <w:t>teks-teks</w:t>
      </w:r>
      <w:proofErr w:type="spellEnd"/>
      <w:r w:rsidRPr="00060A7D">
        <w:rPr>
          <w:rFonts w:ascii="Garamond" w:hAnsi="Garamond"/>
          <w:sz w:val="24"/>
          <w:szCs w:val="24"/>
        </w:rPr>
        <w:t xml:space="preserve"> </w:t>
      </w:r>
      <w:proofErr w:type="spellStart"/>
      <w:r w:rsidRPr="00060A7D">
        <w:rPr>
          <w:rFonts w:ascii="Garamond" w:hAnsi="Garamond"/>
          <w:sz w:val="24"/>
          <w:szCs w:val="24"/>
        </w:rPr>
        <w:t>hukum</w:t>
      </w:r>
      <w:proofErr w:type="spellEnd"/>
      <w:r w:rsidRPr="00060A7D">
        <w:rPr>
          <w:rFonts w:ascii="Garamond" w:hAnsi="Garamond"/>
          <w:sz w:val="24"/>
          <w:szCs w:val="24"/>
        </w:rPr>
        <w:t xml:space="preserve"> Al-Qur’an </w:t>
      </w:r>
      <w:proofErr w:type="spellStart"/>
      <w:r w:rsidRPr="00060A7D">
        <w:rPr>
          <w:rFonts w:ascii="Garamond" w:hAnsi="Garamond"/>
          <w:sz w:val="24"/>
          <w:szCs w:val="24"/>
        </w:rPr>
        <w:t>memerlukan</w:t>
      </w:r>
      <w:proofErr w:type="spellEnd"/>
      <w:r w:rsidRPr="00060A7D">
        <w:rPr>
          <w:rFonts w:ascii="Garamond" w:hAnsi="Garamond"/>
          <w:sz w:val="24"/>
          <w:szCs w:val="24"/>
        </w:rPr>
        <w:t xml:space="preserve"> </w:t>
      </w:r>
      <w:proofErr w:type="spellStart"/>
      <w:r w:rsidRPr="00060A7D">
        <w:rPr>
          <w:rFonts w:ascii="Garamond" w:hAnsi="Garamond"/>
          <w:sz w:val="24"/>
          <w:szCs w:val="24"/>
        </w:rPr>
        <w:t>pembaruan</w:t>
      </w:r>
      <w:proofErr w:type="spellEnd"/>
      <w:r w:rsidRPr="00060A7D">
        <w:rPr>
          <w:rFonts w:ascii="Garamond" w:hAnsi="Garamond"/>
          <w:sz w:val="24"/>
          <w:szCs w:val="24"/>
        </w:rPr>
        <w:t xml:space="preserve"> </w:t>
      </w:r>
      <w:proofErr w:type="spellStart"/>
      <w:r w:rsidRPr="00060A7D">
        <w:rPr>
          <w:rFonts w:ascii="Garamond" w:hAnsi="Garamond"/>
          <w:sz w:val="24"/>
          <w:szCs w:val="24"/>
        </w:rPr>
        <w:t>metodologis</w:t>
      </w:r>
      <w:proofErr w:type="spellEnd"/>
      <w:r w:rsidRPr="00060A7D">
        <w:rPr>
          <w:rFonts w:ascii="Garamond" w:hAnsi="Garamond"/>
          <w:sz w:val="24"/>
          <w:szCs w:val="24"/>
        </w:rPr>
        <w:t xml:space="preserve"> agar </w:t>
      </w:r>
      <w:proofErr w:type="spellStart"/>
      <w:r w:rsidRPr="00060A7D">
        <w:rPr>
          <w:rFonts w:ascii="Garamond" w:hAnsi="Garamond"/>
          <w:sz w:val="24"/>
          <w:szCs w:val="24"/>
        </w:rPr>
        <w:t>tetap</w:t>
      </w:r>
      <w:proofErr w:type="spellEnd"/>
      <w:r w:rsidRPr="00060A7D">
        <w:rPr>
          <w:rFonts w:ascii="Garamond" w:hAnsi="Garamond"/>
          <w:sz w:val="24"/>
          <w:szCs w:val="24"/>
        </w:rPr>
        <w:t xml:space="preserve"> </w:t>
      </w:r>
      <w:proofErr w:type="spellStart"/>
      <w:r w:rsidRPr="00060A7D">
        <w:rPr>
          <w:rFonts w:ascii="Garamond" w:hAnsi="Garamond"/>
          <w:sz w:val="24"/>
          <w:szCs w:val="24"/>
        </w:rPr>
        <w:t>relevan</w:t>
      </w:r>
      <w:proofErr w:type="spellEnd"/>
      <w:r w:rsidRPr="00060A7D">
        <w:rPr>
          <w:rFonts w:ascii="Garamond" w:hAnsi="Garamond"/>
          <w:sz w:val="24"/>
          <w:szCs w:val="24"/>
        </w:rPr>
        <w:t xml:space="preserve"> </w:t>
      </w:r>
      <w:proofErr w:type="spellStart"/>
      <w:r w:rsidRPr="00060A7D">
        <w:rPr>
          <w:rFonts w:ascii="Garamond" w:hAnsi="Garamond"/>
          <w:sz w:val="24"/>
          <w:szCs w:val="24"/>
        </w:rPr>
        <w:t>dengan</w:t>
      </w:r>
      <w:proofErr w:type="spellEnd"/>
      <w:r w:rsidRPr="00060A7D">
        <w:rPr>
          <w:rFonts w:ascii="Garamond" w:hAnsi="Garamond"/>
          <w:sz w:val="24"/>
          <w:szCs w:val="24"/>
        </w:rPr>
        <w:t xml:space="preserve"> </w:t>
      </w:r>
      <w:proofErr w:type="spellStart"/>
      <w:r w:rsidRPr="00060A7D">
        <w:rPr>
          <w:rFonts w:ascii="Garamond" w:hAnsi="Garamond"/>
          <w:sz w:val="24"/>
          <w:szCs w:val="24"/>
        </w:rPr>
        <w:t>konteks</w:t>
      </w:r>
      <w:proofErr w:type="spellEnd"/>
      <w:r w:rsidRPr="00060A7D">
        <w:rPr>
          <w:rFonts w:ascii="Garamond" w:hAnsi="Garamond"/>
          <w:sz w:val="24"/>
          <w:szCs w:val="24"/>
        </w:rPr>
        <w:t xml:space="preserve"> zaman</w:t>
      </w:r>
      <w:r w:rsidR="0031507B" w:rsidRPr="00060A7D">
        <w:rPr>
          <w:rFonts w:ascii="Garamond" w:hAnsi="Garamond"/>
          <w:sz w:val="24"/>
          <w:szCs w:val="24"/>
        </w:rPr>
        <w:t xml:space="preserve"> </w:t>
      </w:r>
      <w:r w:rsidR="0031507B" w:rsidRPr="00060A7D">
        <w:rPr>
          <w:rFonts w:ascii="Garamond" w:hAnsi="Garamond"/>
          <w:sz w:val="24"/>
          <w:szCs w:val="24"/>
        </w:rPr>
        <w:fldChar w:fldCharType="begin" w:fldLock="1"/>
      </w:r>
      <w:r w:rsidR="0031507B" w:rsidRPr="00060A7D">
        <w:rPr>
          <w:rFonts w:ascii="Garamond" w:hAnsi="Garamond"/>
          <w:sz w:val="24"/>
          <w:szCs w:val="24"/>
        </w:rPr>
        <w:instrText>ADDIN CSL_CITATION {"citationItems":[{"id":"ITEM-1","itemData":{"ISSN":"1998-4472","abstract":"The contextual approach, according to contextualists, is the best methodology for cognizing the true spirit and the real message of the Qur'ān, as it provides such interpretations that are based on the values of equality, fairness and justice. The contextualists assert that they seek to promote an Islam which is more human-centred, peaceful and flexible. They also regard most of the classical Qur'ānic explanations, especially pertaining to certain social issues (like the Rights of Women, Interfaith Relations and Hudūd Punishments), to be historic, specific and context-based. They argue that to determine the relevance of the Qur'ānic teachings today, such interpretations should be re-understood, re-interpreted and reapplied according to the modern context and demands. They contextualize the Qur'anic interpretations on the name of modernity, rationality, liberty, success and universality. This article aims to understand the contextual approach as well as its impact on the Qur'ānic interpretations. The thoughts and philosophy of Fazlur Rahman, the twentieth-century leading proponent of the contextual approach, are the major focus of this study. This study is an attempt to help the Muslims remove the evolving misunderstandings about Islam and stimulate them to implement the Qur'ānic wisdom in their thoughts and lives in a better way.","author":[{"dropping-particle":"","family":"Faraz","given":"Muhammad Samiullah","non-dropping-particle":"","parse-names":false,"suffix":""},{"dropping-particle":"","family":"Asiya","given":"Syeda","non-dropping-particle":"","parse-names":false,"suffix":""}],"container-title":"Jihat ul Islam","id":"ITEM-1","issue":"1","issued":{"date-parts":[["2020"]]},"page":"1-20","title":"Impact of the Contextual approach on the Qur'anic Interpretations","type":"article","volume":"14"},"uris":["http://www.mendeley.com/documents/?uuid=0d7d4202-5328-4dcb-9252-77efb6751cc7"]}],"mendeley":{"formattedCitation":"(Faraz &amp; Asiya, 2020)","plainTextFormattedCitation":"(Faraz &amp; Asiya, 2020)","previouslyFormattedCitation":"(Faraz &amp; Asiya, 2020)"},"properties":{"noteIndex":0},"schema":"https://github.com/citation-style-language/schema/raw/master/csl-citation.json"}</w:instrText>
      </w:r>
      <w:r w:rsidR="0031507B" w:rsidRPr="00060A7D">
        <w:rPr>
          <w:rFonts w:ascii="Garamond" w:hAnsi="Garamond"/>
          <w:sz w:val="24"/>
          <w:szCs w:val="24"/>
        </w:rPr>
        <w:fldChar w:fldCharType="separate"/>
      </w:r>
      <w:r w:rsidR="0031507B" w:rsidRPr="00060A7D">
        <w:rPr>
          <w:rFonts w:ascii="Garamond" w:hAnsi="Garamond"/>
          <w:noProof/>
          <w:sz w:val="24"/>
          <w:szCs w:val="24"/>
        </w:rPr>
        <w:t>(Faraz &amp; Asiya, 2020)</w:t>
      </w:r>
      <w:r w:rsidR="0031507B" w:rsidRPr="00060A7D">
        <w:rPr>
          <w:rFonts w:ascii="Garamond" w:hAnsi="Garamond"/>
          <w:sz w:val="24"/>
          <w:szCs w:val="24"/>
        </w:rPr>
        <w:fldChar w:fldCharType="end"/>
      </w:r>
      <w:r w:rsidRPr="00060A7D">
        <w:rPr>
          <w:rFonts w:ascii="Garamond" w:hAnsi="Garamond"/>
          <w:sz w:val="24"/>
          <w:szCs w:val="24"/>
        </w:rPr>
        <w:t>.</w:t>
      </w:r>
    </w:p>
    <w:p w14:paraId="5DCF85D9" w14:textId="55E3C55E" w:rsidR="0096289D" w:rsidRPr="00060A7D" w:rsidRDefault="00E0795C" w:rsidP="00060A7D">
      <w:pPr>
        <w:pStyle w:val="NoSpacing"/>
        <w:spacing w:line="360" w:lineRule="auto"/>
        <w:ind w:firstLine="851"/>
        <w:jc w:val="both"/>
        <w:rPr>
          <w:rFonts w:ascii="Garamond" w:hAnsi="Garamond"/>
          <w:sz w:val="24"/>
          <w:szCs w:val="24"/>
        </w:rPr>
      </w:pPr>
      <w:proofErr w:type="spellStart"/>
      <w:r w:rsidRPr="00060A7D">
        <w:rPr>
          <w:rFonts w:ascii="Garamond" w:hAnsi="Garamond"/>
          <w:sz w:val="24"/>
          <w:szCs w:val="24"/>
        </w:rPr>
        <w:t>Dalam</w:t>
      </w:r>
      <w:proofErr w:type="spellEnd"/>
      <w:r w:rsidRPr="00060A7D">
        <w:rPr>
          <w:rFonts w:ascii="Garamond" w:hAnsi="Garamond"/>
          <w:sz w:val="24"/>
          <w:szCs w:val="24"/>
        </w:rPr>
        <w:t xml:space="preserve"> </w:t>
      </w:r>
      <w:proofErr w:type="spellStart"/>
      <w:r w:rsidRPr="00060A7D">
        <w:rPr>
          <w:rFonts w:ascii="Garamond" w:hAnsi="Garamond"/>
          <w:sz w:val="24"/>
          <w:szCs w:val="24"/>
        </w:rPr>
        <w:t>kerangka</w:t>
      </w:r>
      <w:proofErr w:type="spellEnd"/>
      <w:r w:rsidRPr="00060A7D">
        <w:rPr>
          <w:rFonts w:ascii="Garamond" w:hAnsi="Garamond"/>
          <w:sz w:val="24"/>
          <w:szCs w:val="24"/>
        </w:rPr>
        <w:t xml:space="preserve"> </w:t>
      </w:r>
      <w:proofErr w:type="spellStart"/>
      <w:r w:rsidRPr="00060A7D">
        <w:rPr>
          <w:rFonts w:ascii="Garamond" w:hAnsi="Garamond"/>
          <w:sz w:val="24"/>
          <w:szCs w:val="24"/>
        </w:rPr>
        <w:t>inilah</w:t>
      </w:r>
      <w:proofErr w:type="spellEnd"/>
      <w:r w:rsidRPr="00060A7D">
        <w:rPr>
          <w:rFonts w:ascii="Garamond" w:hAnsi="Garamond"/>
          <w:sz w:val="24"/>
          <w:szCs w:val="24"/>
        </w:rPr>
        <w:t xml:space="preserve"> </w:t>
      </w:r>
      <w:proofErr w:type="spellStart"/>
      <w:r w:rsidRPr="00060A7D">
        <w:rPr>
          <w:rFonts w:ascii="Garamond" w:hAnsi="Garamond"/>
          <w:sz w:val="24"/>
          <w:szCs w:val="24"/>
        </w:rPr>
        <w:t>pemikiran</w:t>
      </w:r>
      <w:proofErr w:type="spellEnd"/>
      <w:r w:rsidRPr="00060A7D">
        <w:rPr>
          <w:rFonts w:ascii="Garamond" w:hAnsi="Garamond"/>
          <w:sz w:val="24"/>
          <w:szCs w:val="24"/>
        </w:rPr>
        <w:t xml:space="preserve"> Fazlur Rahman </w:t>
      </w:r>
      <w:proofErr w:type="spellStart"/>
      <w:r w:rsidRPr="00060A7D">
        <w:rPr>
          <w:rFonts w:ascii="Garamond" w:hAnsi="Garamond"/>
          <w:sz w:val="24"/>
          <w:szCs w:val="24"/>
        </w:rPr>
        <w:t>menjadi</w:t>
      </w:r>
      <w:proofErr w:type="spellEnd"/>
      <w:r w:rsidRPr="00060A7D">
        <w:rPr>
          <w:rFonts w:ascii="Garamond" w:hAnsi="Garamond"/>
          <w:sz w:val="24"/>
          <w:szCs w:val="24"/>
        </w:rPr>
        <w:t xml:space="preserve"> </w:t>
      </w:r>
      <w:proofErr w:type="spellStart"/>
      <w:r w:rsidRPr="00060A7D">
        <w:rPr>
          <w:rFonts w:ascii="Garamond" w:hAnsi="Garamond"/>
          <w:sz w:val="24"/>
          <w:szCs w:val="24"/>
        </w:rPr>
        <w:t>penting</w:t>
      </w:r>
      <w:proofErr w:type="spellEnd"/>
      <w:r w:rsidRPr="00060A7D">
        <w:rPr>
          <w:rFonts w:ascii="Garamond" w:hAnsi="Garamond"/>
          <w:sz w:val="24"/>
          <w:szCs w:val="24"/>
        </w:rPr>
        <w:t xml:space="preserve"> </w:t>
      </w:r>
      <w:proofErr w:type="spellStart"/>
      <w:r w:rsidRPr="00060A7D">
        <w:rPr>
          <w:rFonts w:ascii="Garamond" w:hAnsi="Garamond"/>
          <w:sz w:val="24"/>
          <w:szCs w:val="24"/>
        </w:rPr>
        <w:t>untuk</w:t>
      </w:r>
      <w:proofErr w:type="spellEnd"/>
      <w:r w:rsidRPr="00060A7D">
        <w:rPr>
          <w:rFonts w:ascii="Garamond" w:hAnsi="Garamond"/>
          <w:sz w:val="24"/>
          <w:szCs w:val="24"/>
        </w:rPr>
        <w:t xml:space="preserve"> </w:t>
      </w:r>
      <w:proofErr w:type="spellStart"/>
      <w:r w:rsidRPr="00060A7D">
        <w:rPr>
          <w:rFonts w:ascii="Garamond" w:hAnsi="Garamond"/>
          <w:sz w:val="24"/>
          <w:szCs w:val="24"/>
        </w:rPr>
        <w:t>dikaji</w:t>
      </w:r>
      <w:proofErr w:type="spellEnd"/>
      <w:r w:rsidRPr="00060A7D">
        <w:rPr>
          <w:rFonts w:ascii="Garamond" w:hAnsi="Garamond"/>
          <w:sz w:val="24"/>
          <w:szCs w:val="24"/>
        </w:rPr>
        <w:t xml:space="preserve">. </w:t>
      </w:r>
      <w:proofErr w:type="spellStart"/>
      <w:r w:rsidRPr="00060A7D">
        <w:rPr>
          <w:rFonts w:ascii="Garamond" w:hAnsi="Garamond"/>
          <w:sz w:val="24"/>
          <w:szCs w:val="24"/>
        </w:rPr>
        <w:t>Sebagai</w:t>
      </w:r>
      <w:proofErr w:type="spellEnd"/>
      <w:r w:rsidRPr="00060A7D">
        <w:rPr>
          <w:rFonts w:ascii="Garamond" w:hAnsi="Garamond"/>
          <w:sz w:val="24"/>
          <w:szCs w:val="24"/>
        </w:rPr>
        <w:t xml:space="preserve"> </w:t>
      </w:r>
      <w:proofErr w:type="spellStart"/>
      <w:r w:rsidRPr="00060A7D">
        <w:rPr>
          <w:rFonts w:ascii="Garamond" w:hAnsi="Garamond"/>
          <w:sz w:val="24"/>
          <w:szCs w:val="24"/>
        </w:rPr>
        <w:t>seorang</w:t>
      </w:r>
      <w:proofErr w:type="spellEnd"/>
      <w:r w:rsidRPr="00060A7D">
        <w:rPr>
          <w:rFonts w:ascii="Garamond" w:hAnsi="Garamond"/>
          <w:sz w:val="24"/>
          <w:szCs w:val="24"/>
        </w:rPr>
        <w:t xml:space="preserve"> </w:t>
      </w:r>
      <w:proofErr w:type="spellStart"/>
      <w:r w:rsidRPr="00060A7D">
        <w:rPr>
          <w:rFonts w:ascii="Garamond" w:hAnsi="Garamond"/>
          <w:sz w:val="24"/>
          <w:szCs w:val="24"/>
        </w:rPr>
        <w:t>pemikir</w:t>
      </w:r>
      <w:proofErr w:type="spellEnd"/>
      <w:r w:rsidRPr="00060A7D">
        <w:rPr>
          <w:rFonts w:ascii="Garamond" w:hAnsi="Garamond"/>
          <w:sz w:val="24"/>
          <w:szCs w:val="24"/>
        </w:rPr>
        <w:t xml:space="preserve"> </w:t>
      </w:r>
      <w:proofErr w:type="spellStart"/>
      <w:r w:rsidRPr="00060A7D">
        <w:rPr>
          <w:rFonts w:ascii="Garamond" w:hAnsi="Garamond"/>
          <w:sz w:val="24"/>
          <w:szCs w:val="24"/>
        </w:rPr>
        <w:t>modernis</w:t>
      </w:r>
      <w:proofErr w:type="spellEnd"/>
      <w:r w:rsidRPr="00060A7D">
        <w:rPr>
          <w:rFonts w:ascii="Garamond" w:hAnsi="Garamond"/>
          <w:sz w:val="24"/>
          <w:szCs w:val="24"/>
        </w:rPr>
        <w:t xml:space="preserve"> Muslim, Fazlur Rahman </w:t>
      </w:r>
      <w:proofErr w:type="spellStart"/>
      <w:r w:rsidRPr="00060A7D">
        <w:rPr>
          <w:rFonts w:ascii="Garamond" w:hAnsi="Garamond"/>
          <w:sz w:val="24"/>
          <w:szCs w:val="24"/>
        </w:rPr>
        <w:t>menawarkan</w:t>
      </w:r>
      <w:proofErr w:type="spellEnd"/>
      <w:r w:rsidRPr="00060A7D">
        <w:rPr>
          <w:rFonts w:ascii="Garamond" w:hAnsi="Garamond"/>
          <w:sz w:val="24"/>
          <w:szCs w:val="24"/>
        </w:rPr>
        <w:t xml:space="preserve"> </w:t>
      </w:r>
      <w:proofErr w:type="spellStart"/>
      <w:r w:rsidRPr="00060A7D">
        <w:rPr>
          <w:rFonts w:ascii="Garamond" w:hAnsi="Garamond"/>
          <w:sz w:val="24"/>
          <w:szCs w:val="24"/>
        </w:rPr>
        <w:t>pendekatan</w:t>
      </w:r>
      <w:proofErr w:type="spellEnd"/>
      <w:r w:rsidRPr="00060A7D">
        <w:rPr>
          <w:rFonts w:ascii="Garamond" w:hAnsi="Garamond"/>
          <w:sz w:val="24"/>
          <w:szCs w:val="24"/>
        </w:rPr>
        <w:t xml:space="preserve"> </w:t>
      </w:r>
      <w:proofErr w:type="spellStart"/>
      <w:r w:rsidRPr="00060A7D">
        <w:rPr>
          <w:rFonts w:ascii="Garamond" w:hAnsi="Garamond"/>
          <w:sz w:val="24"/>
          <w:szCs w:val="24"/>
        </w:rPr>
        <w:t>baru</w:t>
      </w:r>
      <w:proofErr w:type="spellEnd"/>
      <w:r w:rsidRPr="00060A7D">
        <w:rPr>
          <w:rFonts w:ascii="Garamond" w:hAnsi="Garamond"/>
          <w:sz w:val="24"/>
          <w:szCs w:val="24"/>
        </w:rPr>
        <w:t xml:space="preserve"> </w:t>
      </w:r>
      <w:proofErr w:type="spellStart"/>
      <w:r w:rsidRPr="00060A7D">
        <w:rPr>
          <w:rFonts w:ascii="Garamond" w:hAnsi="Garamond"/>
          <w:sz w:val="24"/>
          <w:szCs w:val="24"/>
        </w:rPr>
        <w:t>dalam</w:t>
      </w:r>
      <w:proofErr w:type="spellEnd"/>
      <w:r w:rsidRPr="00060A7D">
        <w:rPr>
          <w:rFonts w:ascii="Garamond" w:hAnsi="Garamond"/>
          <w:sz w:val="24"/>
          <w:szCs w:val="24"/>
        </w:rPr>
        <w:t xml:space="preserve"> </w:t>
      </w:r>
      <w:proofErr w:type="spellStart"/>
      <w:r w:rsidRPr="00060A7D">
        <w:rPr>
          <w:rFonts w:ascii="Garamond" w:hAnsi="Garamond"/>
          <w:sz w:val="24"/>
          <w:szCs w:val="24"/>
        </w:rPr>
        <w:t>memahami</w:t>
      </w:r>
      <w:proofErr w:type="spellEnd"/>
      <w:r w:rsidRPr="00060A7D">
        <w:rPr>
          <w:rFonts w:ascii="Garamond" w:hAnsi="Garamond"/>
          <w:sz w:val="24"/>
          <w:szCs w:val="24"/>
        </w:rPr>
        <w:t xml:space="preserve"> Al-Qur’an, </w:t>
      </w:r>
      <w:proofErr w:type="spellStart"/>
      <w:r w:rsidR="0096289D" w:rsidRPr="00060A7D">
        <w:rPr>
          <w:rFonts w:ascii="Garamond" w:hAnsi="Garamond"/>
          <w:sz w:val="24"/>
          <w:szCs w:val="24"/>
        </w:rPr>
        <w:t>tidak</w:t>
      </w:r>
      <w:proofErr w:type="spellEnd"/>
      <w:r w:rsidR="0096289D" w:rsidRPr="00060A7D">
        <w:rPr>
          <w:rFonts w:ascii="Garamond" w:hAnsi="Garamond"/>
          <w:sz w:val="24"/>
          <w:szCs w:val="24"/>
        </w:rPr>
        <w:t xml:space="preserve"> </w:t>
      </w:r>
      <w:proofErr w:type="spellStart"/>
      <w:r w:rsidR="0096289D" w:rsidRPr="00060A7D">
        <w:rPr>
          <w:rFonts w:ascii="Garamond" w:hAnsi="Garamond"/>
          <w:sz w:val="24"/>
          <w:szCs w:val="24"/>
        </w:rPr>
        <w:t>hanya</w:t>
      </w:r>
      <w:proofErr w:type="spellEnd"/>
      <w:r w:rsidRPr="00060A7D">
        <w:rPr>
          <w:rFonts w:ascii="Garamond" w:hAnsi="Garamond"/>
          <w:sz w:val="24"/>
          <w:szCs w:val="24"/>
        </w:rPr>
        <w:t xml:space="preserve"> </w:t>
      </w:r>
      <w:proofErr w:type="spellStart"/>
      <w:r w:rsidRPr="00060A7D">
        <w:rPr>
          <w:rFonts w:ascii="Garamond" w:hAnsi="Garamond"/>
          <w:sz w:val="24"/>
          <w:szCs w:val="24"/>
        </w:rPr>
        <w:t>dalam</w:t>
      </w:r>
      <w:proofErr w:type="spellEnd"/>
      <w:r w:rsidRPr="00060A7D">
        <w:rPr>
          <w:rFonts w:ascii="Garamond" w:hAnsi="Garamond"/>
          <w:sz w:val="24"/>
          <w:szCs w:val="24"/>
        </w:rPr>
        <w:t xml:space="preserve"> </w:t>
      </w:r>
      <w:proofErr w:type="spellStart"/>
      <w:r w:rsidRPr="00060A7D">
        <w:rPr>
          <w:rFonts w:ascii="Garamond" w:hAnsi="Garamond"/>
          <w:sz w:val="24"/>
          <w:szCs w:val="24"/>
        </w:rPr>
        <w:t>aspek</w:t>
      </w:r>
      <w:proofErr w:type="spellEnd"/>
      <w:r w:rsidRPr="00060A7D">
        <w:rPr>
          <w:rFonts w:ascii="Garamond" w:hAnsi="Garamond"/>
          <w:sz w:val="24"/>
          <w:szCs w:val="24"/>
        </w:rPr>
        <w:t xml:space="preserve"> </w:t>
      </w:r>
      <w:proofErr w:type="spellStart"/>
      <w:r w:rsidRPr="00060A7D">
        <w:rPr>
          <w:rFonts w:ascii="Garamond" w:hAnsi="Garamond"/>
          <w:sz w:val="24"/>
          <w:szCs w:val="24"/>
        </w:rPr>
        <w:t>etika</w:t>
      </w:r>
      <w:proofErr w:type="spellEnd"/>
      <w:r w:rsidRPr="00060A7D">
        <w:rPr>
          <w:rFonts w:ascii="Garamond" w:hAnsi="Garamond"/>
          <w:sz w:val="24"/>
          <w:szCs w:val="24"/>
        </w:rPr>
        <w:t xml:space="preserve"> dan </w:t>
      </w:r>
      <w:proofErr w:type="spellStart"/>
      <w:r w:rsidRPr="00060A7D">
        <w:rPr>
          <w:rFonts w:ascii="Garamond" w:hAnsi="Garamond"/>
          <w:sz w:val="24"/>
          <w:szCs w:val="24"/>
        </w:rPr>
        <w:t>hukum</w:t>
      </w:r>
      <w:proofErr w:type="spellEnd"/>
      <w:r w:rsidR="0096289D" w:rsidRPr="00060A7D">
        <w:rPr>
          <w:rFonts w:ascii="Garamond" w:hAnsi="Garamond"/>
          <w:sz w:val="24"/>
          <w:szCs w:val="24"/>
        </w:rPr>
        <w:t xml:space="preserve"> </w:t>
      </w:r>
      <w:proofErr w:type="spellStart"/>
      <w:r w:rsidR="0096289D" w:rsidRPr="00060A7D">
        <w:rPr>
          <w:rFonts w:ascii="Garamond" w:hAnsi="Garamond"/>
          <w:sz w:val="24"/>
          <w:szCs w:val="24"/>
        </w:rPr>
        <w:t>saja</w:t>
      </w:r>
      <w:proofErr w:type="spellEnd"/>
      <w:r w:rsidR="0096289D" w:rsidRPr="00060A7D">
        <w:rPr>
          <w:rFonts w:ascii="Garamond" w:hAnsi="Garamond"/>
          <w:sz w:val="24"/>
          <w:szCs w:val="24"/>
        </w:rPr>
        <w:t xml:space="preserve"> </w:t>
      </w:r>
      <w:proofErr w:type="spellStart"/>
      <w:r w:rsidR="0096289D" w:rsidRPr="00060A7D">
        <w:rPr>
          <w:rFonts w:ascii="Garamond" w:hAnsi="Garamond"/>
          <w:sz w:val="24"/>
          <w:szCs w:val="24"/>
        </w:rPr>
        <w:t>akan</w:t>
      </w:r>
      <w:proofErr w:type="spellEnd"/>
      <w:r w:rsidR="0096289D" w:rsidRPr="00060A7D">
        <w:rPr>
          <w:rFonts w:ascii="Garamond" w:hAnsi="Garamond"/>
          <w:sz w:val="24"/>
          <w:szCs w:val="24"/>
        </w:rPr>
        <w:t xml:space="preserve"> </w:t>
      </w:r>
      <w:proofErr w:type="spellStart"/>
      <w:r w:rsidR="0096289D" w:rsidRPr="00060A7D">
        <w:rPr>
          <w:rFonts w:ascii="Garamond" w:hAnsi="Garamond"/>
          <w:sz w:val="24"/>
          <w:szCs w:val="24"/>
        </w:rPr>
        <w:t>tetapi</w:t>
      </w:r>
      <w:proofErr w:type="spellEnd"/>
      <w:r w:rsidR="0096289D" w:rsidRPr="00060A7D">
        <w:rPr>
          <w:rFonts w:ascii="Garamond" w:hAnsi="Garamond"/>
          <w:sz w:val="24"/>
          <w:szCs w:val="24"/>
        </w:rPr>
        <w:t xml:space="preserve"> juga </w:t>
      </w:r>
      <w:proofErr w:type="spellStart"/>
      <w:r w:rsidR="0096289D" w:rsidRPr="00060A7D">
        <w:rPr>
          <w:rFonts w:ascii="Garamond" w:hAnsi="Garamond"/>
          <w:sz w:val="24"/>
          <w:szCs w:val="24"/>
        </w:rPr>
        <w:t>dalam</w:t>
      </w:r>
      <w:proofErr w:type="spellEnd"/>
      <w:r w:rsidR="0096289D" w:rsidRPr="00060A7D">
        <w:rPr>
          <w:rFonts w:ascii="Garamond" w:hAnsi="Garamond"/>
          <w:sz w:val="24"/>
          <w:szCs w:val="24"/>
        </w:rPr>
        <w:t xml:space="preserve"> </w:t>
      </w:r>
      <w:proofErr w:type="spellStart"/>
      <w:r w:rsidR="0096289D" w:rsidRPr="00060A7D">
        <w:rPr>
          <w:rFonts w:ascii="Garamond" w:hAnsi="Garamond"/>
          <w:sz w:val="24"/>
          <w:szCs w:val="24"/>
        </w:rPr>
        <w:t>kajian</w:t>
      </w:r>
      <w:proofErr w:type="spellEnd"/>
      <w:r w:rsidR="0096289D" w:rsidRPr="00060A7D">
        <w:rPr>
          <w:rFonts w:ascii="Garamond" w:hAnsi="Garamond"/>
          <w:sz w:val="24"/>
          <w:szCs w:val="24"/>
        </w:rPr>
        <w:t xml:space="preserve"> </w:t>
      </w:r>
      <w:proofErr w:type="spellStart"/>
      <w:r w:rsidR="0096289D" w:rsidRPr="00060A7D">
        <w:rPr>
          <w:rFonts w:ascii="Garamond" w:hAnsi="Garamond"/>
          <w:sz w:val="24"/>
          <w:szCs w:val="24"/>
        </w:rPr>
        <w:t>pendidikan</w:t>
      </w:r>
      <w:proofErr w:type="spellEnd"/>
      <w:r w:rsidR="0031507B" w:rsidRPr="00060A7D">
        <w:rPr>
          <w:rFonts w:ascii="Garamond" w:hAnsi="Garamond"/>
          <w:sz w:val="24"/>
          <w:szCs w:val="24"/>
        </w:rPr>
        <w:t xml:space="preserve"> </w:t>
      </w:r>
      <w:r w:rsidR="0031507B" w:rsidRPr="00060A7D">
        <w:rPr>
          <w:rFonts w:ascii="Garamond" w:hAnsi="Garamond"/>
          <w:sz w:val="24"/>
          <w:szCs w:val="24"/>
        </w:rPr>
        <w:fldChar w:fldCharType="begin" w:fldLock="1"/>
      </w:r>
      <w:r w:rsidR="002E70CA" w:rsidRPr="00060A7D">
        <w:rPr>
          <w:rFonts w:ascii="Garamond" w:hAnsi="Garamond"/>
          <w:sz w:val="24"/>
          <w:szCs w:val="24"/>
        </w:rPr>
        <w:instrText>ADDIN CSL_CITATION {"citationItems":[{"id":"ITEM-1","itemData":{"DOI":"10.1111/muwo.12334","ISSN":"14781913","abstract":"This article examines the influence of Fazlur Rahman, one of the most widely quoted scholars among contemporary Muslim modernists, on contemporary Islamic thought. It explores how Rahman’s ideas about revelation and the interpretation of the Qur</w:instrText>
      </w:r>
      <w:r w:rsidR="002E70CA" w:rsidRPr="00060A7D">
        <w:rPr>
          <w:rFonts w:ascii="Times New Roman" w:hAnsi="Times New Roman" w:cs="Times New Roman"/>
          <w:sz w:val="24"/>
          <w:szCs w:val="24"/>
        </w:rPr>
        <w:instrText>ʾ</w:instrText>
      </w:r>
      <w:r w:rsidR="002E70CA" w:rsidRPr="00060A7D">
        <w:rPr>
          <w:rFonts w:ascii="Garamond" w:hAnsi="Garamond" w:cs="Garamond"/>
          <w:sz w:val="24"/>
          <w:szCs w:val="24"/>
        </w:rPr>
        <w:instrText>ā</w:instrText>
      </w:r>
      <w:r w:rsidR="002E70CA" w:rsidRPr="00060A7D">
        <w:rPr>
          <w:rFonts w:ascii="Garamond" w:hAnsi="Garamond"/>
          <w:sz w:val="24"/>
          <w:szCs w:val="24"/>
        </w:rPr>
        <w:instrText>n have influenced some contemporary Muslim scholars of the late twentieth and early twenty-first centuries, such as Abdolkarim Soroush, Arash Naraqi, Abdullah Saeed, Nurcholish Madjid, Farid Esack and Amina Wadud, and thus have given rise – whether directly or indirectly – to such schools of thought as Islamic liberation theology and feminist exegesis of the Qur</w:instrText>
      </w:r>
      <w:r w:rsidR="002E70CA" w:rsidRPr="00060A7D">
        <w:rPr>
          <w:rFonts w:ascii="Times New Roman" w:hAnsi="Times New Roman" w:cs="Times New Roman"/>
          <w:sz w:val="24"/>
          <w:szCs w:val="24"/>
        </w:rPr>
        <w:instrText>ʾ</w:instrText>
      </w:r>
      <w:r w:rsidR="002E70CA" w:rsidRPr="00060A7D">
        <w:rPr>
          <w:rFonts w:ascii="Garamond" w:hAnsi="Garamond" w:cs="Garamond"/>
          <w:sz w:val="24"/>
          <w:szCs w:val="24"/>
        </w:rPr>
        <w:instrText>ā</w:instrText>
      </w:r>
      <w:r w:rsidR="002E70CA" w:rsidRPr="00060A7D">
        <w:rPr>
          <w:rFonts w:ascii="Garamond" w:hAnsi="Garamond"/>
          <w:sz w:val="24"/>
          <w:szCs w:val="24"/>
        </w:rPr>
        <w:instrText>n. The article also provides a critical evaluation the thought of Fazlur Rahman, and examines how its shortcomings have been rectified by his followers. The article ends with some recommendations to contextualist scholars about Qur</w:instrText>
      </w:r>
      <w:r w:rsidR="002E70CA" w:rsidRPr="00060A7D">
        <w:rPr>
          <w:rFonts w:ascii="Times New Roman" w:hAnsi="Times New Roman" w:cs="Times New Roman"/>
          <w:sz w:val="24"/>
          <w:szCs w:val="24"/>
        </w:rPr>
        <w:instrText>ʾ</w:instrText>
      </w:r>
      <w:r w:rsidR="002E70CA" w:rsidRPr="00060A7D">
        <w:rPr>
          <w:rFonts w:ascii="Garamond" w:hAnsi="Garamond" w:cs="Garamond"/>
          <w:sz w:val="24"/>
          <w:szCs w:val="24"/>
        </w:rPr>
        <w:instrText>ā</w:instrText>
      </w:r>
      <w:r w:rsidR="002E70CA" w:rsidRPr="00060A7D">
        <w:rPr>
          <w:rFonts w:ascii="Garamond" w:hAnsi="Garamond"/>
          <w:sz w:val="24"/>
          <w:szCs w:val="24"/>
        </w:rPr>
        <w:instrText>nic justice and its relation with our contemporary understandings of justice.","author":[{"dropping-particle":"","family":"Akbar","given":"Ali","non-dropping-particle":"","parse-names":false,"suffix":""}],"container-title":"Muslim World","id":"ITEM-1","issue":"2","issued":{"date-parts":[["2020"]]},"page":"129-153","title":"Fazlur Rahman’s Influence on Contemporary Islamic Thought","type":"article-journal","volume":"110"},"uris":["http://www.mendeley.com/documents/?uuid=dc4017c6-d30d-42d8-8fd8-733ac4b74efb"]}],"mendeley":{"formattedCitation":"(Akbar, 2020)","plainTextFormattedCitation":"(Akbar, 2020)","previouslyFormattedCitation":"(Akbar, 2020)"},"properties":{"noteIndex":0},"schema":"https://github.com/citation-style-language/schema/raw/master/csl-citation.json"}</w:instrText>
      </w:r>
      <w:r w:rsidR="0031507B" w:rsidRPr="00060A7D">
        <w:rPr>
          <w:rFonts w:ascii="Garamond" w:hAnsi="Garamond"/>
          <w:sz w:val="24"/>
          <w:szCs w:val="24"/>
        </w:rPr>
        <w:fldChar w:fldCharType="separate"/>
      </w:r>
      <w:r w:rsidR="0031507B" w:rsidRPr="00060A7D">
        <w:rPr>
          <w:rFonts w:ascii="Garamond" w:hAnsi="Garamond"/>
          <w:noProof/>
          <w:sz w:val="24"/>
          <w:szCs w:val="24"/>
        </w:rPr>
        <w:t>(Akbar, 2020)</w:t>
      </w:r>
      <w:r w:rsidR="0031507B" w:rsidRPr="00060A7D">
        <w:rPr>
          <w:rFonts w:ascii="Garamond" w:hAnsi="Garamond"/>
          <w:sz w:val="24"/>
          <w:szCs w:val="24"/>
        </w:rPr>
        <w:fldChar w:fldCharType="end"/>
      </w:r>
      <w:r w:rsidRPr="00060A7D">
        <w:rPr>
          <w:rFonts w:ascii="Garamond" w:hAnsi="Garamond"/>
          <w:sz w:val="24"/>
          <w:szCs w:val="24"/>
        </w:rPr>
        <w:t xml:space="preserve">. </w:t>
      </w:r>
      <w:proofErr w:type="spellStart"/>
      <w:r w:rsidR="00F63414" w:rsidRPr="00060A7D">
        <w:rPr>
          <w:rFonts w:ascii="Garamond" w:hAnsi="Garamond"/>
          <w:sz w:val="24"/>
          <w:szCs w:val="24"/>
        </w:rPr>
        <w:t>Ia</w:t>
      </w:r>
      <w:proofErr w:type="spellEnd"/>
      <w:r w:rsidR="00F63414" w:rsidRPr="00060A7D">
        <w:rPr>
          <w:rFonts w:ascii="Garamond" w:hAnsi="Garamond"/>
          <w:sz w:val="24"/>
          <w:szCs w:val="24"/>
        </w:rPr>
        <w:t xml:space="preserve"> </w:t>
      </w:r>
      <w:proofErr w:type="spellStart"/>
      <w:r w:rsidR="00F63414" w:rsidRPr="00060A7D">
        <w:rPr>
          <w:rFonts w:ascii="Garamond" w:hAnsi="Garamond"/>
          <w:sz w:val="24"/>
          <w:szCs w:val="24"/>
        </w:rPr>
        <w:t>menekankan</w:t>
      </w:r>
      <w:proofErr w:type="spellEnd"/>
      <w:r w:rsidR="00F63414" w:rsidRPr="00060A7D">
        <w:rPr>
          <w:rFonts w:ascii="Garamond" w:hAnsi="Garamond"/>
          <w:sz w:val="24"/>
          <w:szCs w:val="24"/>
        </w:rPr>
        <w:t xml:space="preserve"> </w:t>
      </w:r>
      <w:proofErr w:type="spellStart"/>
      <w:r w:rsidR="00F63414" w:rsidRPr="00060A7D">
        <w:rPr>
          <w:rFonts w:ascii="Garamond" w:hAnsi="Garamond"/>
          <w:sz w:val="24"/>
          <w:szCs w:val="24"/>
        </w:rPr>
        <w:t>perlunya</w:t>
      </w:r>
      <w:proofErr w:type="spellEnd"/>
      <w:r w:rsidR="00F63414" w:rsidRPr="00060A7D">
        <w:rPr>
          <w:rFonts w:ascii="Garamond" w:hAnsi="Garamond"/>
          <w:sz w:val="24"/>
          <w:szCs w:val="24"/>
        </w:rPr>
        <w:t xml:space="preserve"> </w:t>
      </w:r>
      <w:proofErr w:type="spellStart"/>
      <w:r w:rsidR="00F63414" w:rsidRPr="00060A7D">
        <w:rPr>
          <w:rFonts w:ascii="Garamond" w:hAnsi="Garamond"/>
          <w:sz w:val="24"/>
          <w:szCs w:val="24"/>
        </w:rPr>
        <w:t>kembali</w:t>
      </w:r>
      <w:proofErr w:type="spellEnd"/>
      <w:r w:rsidR="00F63414" w:rsidRPr="00060A7D">
        <w:rPr>
          <w:rFonts w:ascii="Garamond" w:hAnsi="Garamond"/>
          <w:sz w:val="24"/>
          <w:szCs w:val="24"/>
        </w:rPr>
        <w:t xml:space="preserve"> pada </w:t>
      </w:r>
      <w:proofErr w:type="spellStart"/>
      <w:r w:rsidR="00F63414" w:rsidRPr="00060A7D">
        <w:rPr>
          <w:rFonts w:ascii="Garamond" w:hAnsi="Garamond"/>
          <w:sz w:val="24"/>
          <w:szCs w:val="24"/>
        </w:rPr>
        <w:t>semangat</w:t>
      </w:r>
      <w:proofErr w:type="spellEnd"/>
      <w:r w:rsidR="00F63414" w:rsidRPr="00060A7D">
        <w:rPr>
          <w:rFonts w:ascii="Garamond" w:hAnsi="Garamond"/>
          <w:sz w:val="24"/>
          <w:szCs w:val="24"/>
        </w:rPr>
        <w:t xml:space="preserve"> moral dan </w:t>
      </w:r>
      <w:proofErr w:type="spellStart"/>
      <w:r w:rsidR="00F63414" w:rsidRPr="00060A7D">
        <w:rPr>
          <w:rFonts w:ascii="Garamond" w:hAnsi="Garamond"/>
          <w:sz w:val="24"/>
          <w:szCs w:val="24"/>
        </w:rPr>
        <w:t>tujuan</w:t>
      </w:r>
      <w:proofErr w:type="spellEnd"/>
      <w:r w:rsidR="00F63414" w:rsidRPr="00060A7D">
        <w:rPr>
          <w:rFonts w:ascii="Garamond" w:hAnsi="Garamond"/>
          <w:sz w:val="24"/>
          <w:szCs w:val="24"/>
        </w:rPr>
        <w:t xml:space="preserve"> </w:t>
      </w:r>
      <w:proofErr w:type="spellStart"/>
      <w:r w:rsidR="00F63414" w:rsidRPr="00060A7D">
        <w:rPr>
          <w:rFonts w:ascii="Garamond" w:hAnsi="Garamond"/>
          <w:sz w:val="24"/>
          <w:szCs w:val="24"/>
        </w:rPr>
        <w:t>sosial</w:t>
      </w:r>
      <w:proofErr w:type="spellEnd"/>
      <w:r w:rsidR="00F63414" w:rsidRPr="00060A7D">
        <w:rPr>
          <w:rFonts w:ascii="Garamond" w:hAnsi="Garamond"/>
          <w:sz w:val="24"/>
          <w:szCs w:val="24"/>
        </w:rPr>
        <w:t xml:space="preserve"> </w:t>
      </w:r>
      <w:proofErr w:type="spellStart"/>
      <w:r w:rsidR="00F63414" w:rsidRPr="00060A7D">
        <w:rPr>
          <w:rFonts w:ascii="Garamond" w:hAnsi="Garamond"/>
          <w:sz w:val="24"/>
          <w:szCs w:val="24"/>
        </w:rPr>
        <w:t>dari</w:t>
      </w:r>
      <w:proofErr w:type="spellEnd"/>
      <w:r w:rsidR="00F63414" w:rsidRPr="00060A7D">
        <w:rPr>
          <w:rFonts w:ascii="Garamond" w:hAnsi="Garamond"/>
          <w:sz w:val="24"/>
          <w:szCs w:val="24"/>
        </w:rPr>
        <w:t xml:space="preserve"> </w:t>
      </w:r>
      <w:proofErr w:type="spellStart"/>
      <w:r w:rsidR="00F63414" w:rsidRPr="00060A7D">
        <w:rPr>
          <w:rFonts w:ascii="Garamond" w:hAnsi="Garamond"/>
          <w:sz w:val="24"/>
          <w:szCs w:val="24"/>
        </w:rPr>
        <w:t>wahyu</w:t>
      </w:r>
      <w:proofErr w:type="spellEnd"/>
      <w:r w:rsidR="00F63414" w:rsidRPr="00060A7D">
        <w:rPr>
          <w:rFonts w:ascii="Garamond" w:hAnsi="Garamond"/>
          <w:sz w:val="24"/>
          <w:szCs w:val="24"/>
        </w:rPr>
        <w:t xml:space="preserve">, </w:t>
      </w:r>
      <w:proofErr w:type="spellStart"/>
      <w:r w:rsidR="00F63414" w:rsidRPr="00060A7D">
        <w:rPr>
          <w:rFonts w:ascii="Garamond" w:hAnsi="Garamond"/>
          <w:sz w:val="24"/>
          <w:szCs w:val="24"/>
        </w:rPr>
        <w:t>bukan</w:t>
      </w:r>
      <w:proofErr w:type="spellEnd"/>
      <w:r w:rsidR="00F63414" w:rsidRPr="00060A7D">
        <w:rPr>
          <w:rFonts w:ascii="Garamond" w:hAnsi="Garamond"/>
          <w:sz w:val="24"/>
          <w:szCs w:val="24"/>
        </w:rPr>
        <w:t xml:space="preserve"> </w:t>
      </w:r>
      <w:proofErr w:type="spellStart"/>
      <w:r w:rsidR="00F63414" w:rsidRPr="00060A7D">
        <w:rPr>
          <w:rFonts w:ascii="Garamond" w:hAnsi="Garamond"/>
          <w:sz w:val="24"/>
          <w:szCs w:val="24"/>
        </w:rPr>
        <w:t>sekadar</w:t>
      </w:r>
      <w:proofErr w:type="spellEnd"/>
      <w:r w:rsidR="00F63414" w:rsidRPr="00060A7D">
        <w:rPr>
          <w:rFonts w:ascii="Garamond" w:hAnsi="Garamond"/>
          <w:sz w:val="24"/>
          <w:szCs w:val="24"/>
        </w:rPr>
        <w:t xml:space="preserve"> </w:t>
      </w:r>
      <w:proofErr w:type="spellStart"/>
      <w:r w:rsidR="00F63414" w:rsidRPr="00060A7D">
        <w:rPr>
          <w:rFonts w:ascii="Garamond" w:hAnsi="Garamond"/>
          <w:sz w:val="24"/>
          <w:szCs w:val="24"/>
        </w:rPr>
        <w:t>terpaku</w:t>
      </w:r>
      <w:proofErr w:type="spellEnd"/>
      <w:r w:rsidR="00F63414" w:rsidRPr="00060A7D">
        <w:rPr>
          <w:rFonts w:ascii="Garamond" w:hAnsi="Garamond"/>
          <w:sz w:val="24"/>
          <w:szCs w:val="24"/>
        </w:rPr>
        <w:t xml:space="preserve"> pada </w:t>
      </w:r>
      <w:proofErr w:type="spellStart"/>
      <w:r w:rsidR="00F63414" w:rsidRPr="00060A7D">
        <w:rPr>
          <w:rFonts w:ascii="Garamond" w:hAnsi="Garamond"/>
          <w:sz w:val="24"/>
          <w:szCs w:val="24"/>
        </w:rPr>
        <w:t>bentuk</w:t>
      </w:r>
      <w:proofErr w:type="spellEnd"/>
      <w:r w:rsidR="00F63414" w:rsidRPr="00060A7D">
        <w:rPr>
          <w:rFonts w:ascii="Garamond" w:hAnsi="Garamond"/>
          <w:sz w:val="24"/>
          <w:szCs w:val="24"/>
        </w:rPr>
        <w:t xml:space="preserve"> literal </w:t>
      </w:r>
      <w:proofErr w:type="spellStart"/>
      <w:r w:rsidR="00F63414" w:rsidRPr="00060A7D">
        <w:rPr>
          <w:rFonts w:ascii="Garamond" w:hAnsi="Garamond"/>
          <w:sz w:val="24"/>
          <w:szCs w:val="24"/>
        </w:rPr>
        <w:t>teks</w:t>
      </w:r>
      <w:proofErr w:type="spellEnd"/>
      <w:r w:rsidR="00F63414" w:rsidRPr="00060A7D">
        <w:rPr>
          <w:rFonts w:ascii="Garamond" w:hAnsi="Garamond"/>
          <w:sz w:val="24"/>
          <w:szCs w:val="24"/>
        </w:rPr>
        <w:t xml:space="preserve">. Salah </w:t>
      </w:r>
      <w:proofErr w:type="spellStart"/>
      <w:r w:rsidR="00F63414" w:rsidRPr="00060A7D">
        <w:rPr>
          <w:rFonts w:ascii="Garamond" w:hAnsi="Garamond"/>
          <w:sz w:val="24"/>
          <w:szCs w:val="24"/>
        </w:rPr>
        <w:t>satu</w:t>
      </w:r>
      <w:proofErr w:type="spellEnd"/>
      <w:r w:rsidR="00F63414" w:rsidRPr="00060A7D">
        <w:rPr>
          <w:rFonts w:ascii="Garamond" w:hAnsi="Garamond"/>
          <w:sz w:val="24"/>
          <w:szCs w:val="24"/>
        </w:rPr>
        <w:t xml:space="preserve"> </w:t>
      </w:r>
      <w:proofErr w:type="spellStart"/>
      <w:r w:rsidR="00F63414" w:rsidRPr="00060A7D">
        <w:rPr>
          <w:rFonts w:ascii="Garamond" w:hAnsi="Garamond"/>
          <w:sz w:val="24"/>
          <w:szCs w:val="24"/>
        </w:rPr>
        <w:t>kontribusi</w:t>
      </w:r>
      <w:proofErr w:type="spellEnd"/>
      <w:r w:rsidR="00F63414" w:rsidRPr="00060A7D">
        <w:rPr>
          <w:rFonts w:ascii="Garamond" w:hAnsi="Garamond"/>
          <w:sz w:val="24"/>
          <w:szCs w:val="24"/>
        </w:rPr>
        <w:t xml:space="preserve"> </w:t>
      </w:r>
      <w:proofErr w:type="spellStart"/>
      <w:r w:rsidR="00F63414" w:rsidRPr="00060A7D">
        <w:rPr>
          <w:rFonts w:ascii="Garamond" w:hAnsi="Garamond"/>
          <w:sz w:val="24"/>
          <w:szCs w:val="24"/>
        </w:rPr>
        <w:t>intelektualnya</w:t>
      </w:r>
      <w:proofErr w:type="spellEnd"/>
      <w:r w:rsidR="00F63414" w:rsidRPr="00060A7D">
        <w:rPr>
          <w:rFonts w:ascii="Garamond" w:hAnsi="Garamond"/>
          <w:sz w:val="24"/>
          <w:szCs w:val="24"/>
        </w:rPr>
        <w:t xml:space="preserve"> yang </w:t>
      </w:r>
      <w:proofErr w:type="spellStart"/>
      <w:r w:rsidR="00F63414" w:rsidRPr="00060A7D">
        <w:rPr>
          <w:rFonts w:ascii="Garamond" w:hAnsi="Garamond"/>
          <w:sz w:val="24"/>
          <w:szCs w:val="24"/>
        </w:rPr>
        <w:t>signifikan</w:t>
      </w:r>
      <w:proofErr w:type="spellEnd"/>
      <w:r w:rsidR="00F63414" w:rsidRPr="00060A7D">
        <w:rPr>
          <w:rFonts w:ascii="Garamond" w:hAnsi="Garamond"/>
          <w:sz w:val="24"/>
          <w:szCs w:val="24"/>
        </w:rPr>
        <w:t xml:space="preserve"> </w:t>
      </w:r>
      <w:proofErr w:type="spellStart"/>
      <w:r w:rsidR="00F63414" w:rsidRPr="00060A7D">
        <w:rPr>
          <w:rFonts w:ascii="Garamond" w:hAnsi="Garamond"/>
          <w:sz w:val="24"/>
          <w:szCs w:val="24"/>
        </w:rPr>
        <w:t>adalah</w:t>
      </w:r>
      <w:proofErr w:type="spellEnd"/>
      <w:r w:rsidR="00F63414" w:rsidRPr="00060A7D">
        <w:rPr>
          <w:rFonts w:ascii="Garamond" w:hAnsi="Garamond"/>
          <w:sz w:val="24"/>
          <w:szCs w:val="24"/>
        </w:rPr>
        <w:t xml:space="preserve"> </w:t>
      </w:r>
      <w:proofErr w:type="spellStart"/>
      <w:r w:rsidR="00F63414" w:rsidRPr="00060A7D">
        <w:rPr>
          <w:rFonts w:ascii="Garamond" w:hAnsi="Garamond"/>
          <w:sz w:val="24"/>
          <w:szCs w:val="24"/>
        </w:rPr>
        <w:t>gagasan</w:t>
      </w:r>
      <w:proofErr w:type="spellEnd"/>
      <w:r w:rsidR="00F63414" w:rsidRPr="00060A7D">
        <w:rPr>
          <w:rFonts w:ascii="Garamond" w:hAnsi="Garamond"/>
          <w:sz w:val="24"/>
          <w:szCs w:val="24"/>
        </w:rPr>
        <w:t xml:space="preserve"> </w:t>
      </w:r>
      <w:r w:rsidR="00F63414" w:rsidRPr="00060A7D">
        <w:rPr>
          <w:rFonts w:ascii="Garamond" w:hAnsi="Garamond"/>
          <w:i/>
          <w:iCs/>
          <w:sz w:val="24"/>
          <w:szCs w:val="24"/>
        </w:rPr>
        <w:t>Double Movement Theory</w:t>
      </w:r>
      <w:r w:rsidR="00F63414" w:rsidRPr="00060A7D">
        <w:rPr>
          <w:rFonts w:ascii="Garamond" w:hAnsi="Garamond"/>
          <w:sz w:val="24"/>
          <w:szCs w:val="24"/>
        </w:rPr>
        <w:t xml:space="preserve">, </w:t>
      </w:r>
      <w:proofErr w:type="spellStart"/>
      <w:r w:rsidR="00F63414" w:rsidRPr="00060A7D">
        <w:rPr>
          <w:rFonts w:ascii="Garamond" w:hAnsi="Garamond"/>
          <w:sz w:val="24"/>
          <w:szCs w:val="24"/>
        </w:rPr>
        <w:t>yaitu</w:t>
      </w:r>
      <w:proofErr w:type="spellEnd"/>
      <w:r w:rsidR="00F63414" w:rsidRPr="00060A7D">
        <w:rPr>
          <w:rFonts w:ascii="Garamond" w:hAnsi="Garamond"/>
          <w:sz w:val="24"/>
          <w:szCs w:val="24"/>
        </w:rPr>
        <w:t xml:space="preserve"> </w:t>
      </w:r>
      <w:proofErr w:type="spellStart"/>
      <w:r w:rsidR="00F63414" w:rsidRPr="00060A7D">
        <w:rPr>
          <w:rFonts w:ascii="Garamond" w:hAnsi="Garamond"/>
          <w:sz w:val="24"/>
          <w:szCs w:val="24"/>
        </w:rPr>
        <w:t>metode</w:t>
      </w:r>
      <w:proofErr w:type="spellEnd"/>
      <w:r w:rsidR="00F63414" w:rsidRPr="00060A7D">
        <w:rPr>
          <w:rFonts w:ascii="Garamond" w:hAnsi="Garamond"/>
          <w:sz w:val="24"/>
          <w:szCs w:val="24"/>
        </w:rPr>
        <w:t xml:space="preserve"> </w:t>
      </w:r>
      <w:proofErr w:type="spellStart"/>
      <w:r w:rsidR="00F63414" w:rsidRPr="00060A7D">
        <w:rPr>
          <w:rFonts w:ascii="Garamond" w:hAnsi="Garamond"/>
          <w:sz w:val="24"/>
          <w:szCs w:val="24"/>
        </w:rPr>
        <w:t>penafsiran</w:t>
      </w:r>
      <w:proofErr w:type="spellEnd"/>
      <w:r w:rsidR="00F63414" w:rsidRPr="00060A7D">
        <w:rPr>
          <w:rFonts w:ascii="Garamond" w:hAnsi="Garamond"/>
          <w:sz w:val="24"/>
          <w:szCs w:val="24"/>
        </w:rPr>
        <w:t xml:space="preserve"> </w:t>
      </w:r>
      <w:proofErr w:type="spellStart"/>
      <w:r w:rsidR="00F63414" w:rsidRPr="00060A7D">
        <w:rPr>
          <w:rFonts w:ascii="Garamond" w:hAnsi="Garamond"/>
          <w:sz w:val="24"/>
          <w:szCs w:val="24"/>
        </w:rPr>
        <w:t>dua</w:t>
      </w:r>
      <w:proofErr w:type="spellEnd"/>
      <w:r w:rsidR="00F63414" w:rsidRPr="00060A7D">
        <w:rPr>
          <w:rFonts w:ascii="Garamond" w:hAnsi="Garamond"/>
          <w:sz w:val="24"/>
          <w:szCs w:val="24"/>
        </w:rPr>
        <w:t xml:space="preserve"> </w:t>
      </w:r>
      <w:proofErr w:type="spellStart"/>
      <w:r w:rsidR="00F63414" w:rsidRPr="00060A7D">
        <w:rPr>
          <w:rFonts w:ascii="Garamond" w:hAnsi="Garamond"/>
          <w:sz w:val="24"/>
          <w:szCs w:val="24"/>
        </w:rPr>
        <w:t>arah</w:t>
      </w:r>
      <w:proofErr w:type="spellEnd"/>
      <w:r w:rsidR="00F63414" w:rsidRPr="00060A7D">
        <w:rPr>
          <w:rFonts w:ascii="Garamond" w:hAnsi="Garamond"/>
          <w:sz w:val="24"/>
          <w:szCs w:val="24"/>
        </w:rPr>
        <w:t xml:space="preserve"> yang </w:t>
      </w:r>
      <w:proofErr w:type="spellStart"/>
      <w:r w:rsidR="00F63414" w:rsidRPr="00060A7D">
        <w:rPr>
          <w:rFonts w:ascii="Garamond" w:hAnsi="Garamond"/>
          <w:sz w:val="24"/>
          <w:szCs w:val="24"/>
        </w:rPr>
        <w:t>dimulai</w:t>
      </w:r>
      <w:proofErr w:type="spellEnd"/>
      <w:r w:rsidR="00F63414" w:rsidRPr="00060A7D">
        <w:rPr>
          <w:rFonts w:ascii="Garamond" w:hAnsi="Garamond"/>
          <w:sz w:val="24"/>
          <w:szCs w:val="24"/>
        </w:rPr>
        <w:t xml:space="preserve"> </w:t>
      </w:r>
      <w:proofErr w:type="spellStart"/>
      <w:r w:rsidR="00F63414" w:rsidRPr="00060A7D">
        <w:rPr>
          <w:rFonts w:ascii="Garamond" w:hAnsi="Garamond"/>
          <w:sz w:val="24"/>
          <w:szCs w:val="24"/>
        </w:rPr>
        <w:t>dari</w:t>
      </w:r>
      <w:proofErr w:type="spellEnd"/>
      <w:r w:rsidR="00F63414" w:rsidRPr="00060A7D">
        <w:rPr>
          <w:rFonts w:ascii="Garamond" w:hAnsi="Garamond"/>
          <w:sz w:val="24"/>
          <w:szCs w:val="24"/>
        </w:rPr>
        <w:t xml:space="preserve"> </w:t>
      </w:r>
      <w:proofErr w:type="spellStart"/>
      <w:r w:rsidR="00F63414" w:rsidRPr="00060A7D">
        <w:rPr>
          <w:rFonts w:ascii="Garamond" w:hAnsi="Garamond"/>
          <w:sz w:val="24"/>
          <w:szCs w:val="24"/>
        </w:rPr>
        <w:t>konteks</w:t>
      </w:r>
      <w:proofErr w:type="spellEnd"/>
      <w:r w:rsidR="00F63414" w:rsidRPr="00060A7D">
        <w:rPr>
          <w:rFonts w:ascii="Garamond" w:hAnsi="Garamond"/>
          <w:sz w:val="24"/>
          <w:szCs w:val="24"/>
        </w:rPr>
        <w:t xml:space="preserve"> </w:t>
      </w:r>
      <w:proofErr w:type="spellStart"/>
      <w:r w:rsidR="00F63414" w:rsidRPr="00060A7D">
        <w:rPr>
          <w:rFonts w:ascii="Garamond" w:hAnsi="Garamond"/>
          <w:sz w:val="24"/>
          <w:szCs w:val="24"/>
        </w:rPr>
        <w:t>historis</w:t>
      </w:r>
      <w:proofErr w:type="spellEnd"/>
      <w:r w:rsidR="00F63414" w:rsidRPr="00060A7D">
        <w:rPr>
          <w:rFonts w:ascii="Garamond" w:hAnsi="Garamond"/>
          <w:sz w:val="24"/>
          <w:szCs w:val="24"/>
        </w:rPr>
        <w:t xml:space="preserve"> </w:t>
      </w:r>
      <w:proofErr w:type="spellStart"/>
      <w:r w:rsidR="00F63414" w:rsidRPr="00060A7D">
        <w:rPr>
          <w:rFonts w:ascii="Garamond" w:hAnsi="Garamond"/>
          <w:sz w:val="24"/>
          <w:szCs w:val="24"/>
        </w:rPr>
        <w:t>pewahyuan</w:t>
      </w:r>
      <w:proofErr w:type="spellEnd"/>
      <w:r w:rsidR="00F63414" w:rsidRPr="00060A7D">
        <w:rPr>
          <w:rFonts w:ascii="Garamond" w:hAnsi="Garamond"/>
          <w:sz w:val="24"/>
          <w:szCs w:val="24"/>
        </w:rPr>
        <w:t xml:space="preserve"> </w:t>
      </w:r>
      <w:proofErr w:type="spellStart"/>
      <w:r w:rsidR="00F63414" w:rsidRPr="00060A7D">
        <w:rPr>
          <w:rFonts w:ascii="Garamond" w:hAnsi="Garamond"/>
          <w:sz w:val="24"/>
          <w:szCs w:val="24"/>
        </w:rPr>
        <w:t>menuju</w:t>
      </w:r>
      <w:proofErr w:type="spellEnd"/>
      <w:r w:rsidR="00F63414" w:rsidRPr="00060A7D">
        <w:rPr>
          <w:rFonts w:ascii="Garamond" w:hAnsi="Garamond"/>
          <w:sz w:val="24"/>
          <w:szCs w:val="24"/>
        </w:rPr>
        <w:t xml:space="preserve"> </w:t>
      </w:r>
      <w:proofErr w:type="spellStart"/>
      <w:r w:rsidR="00F63414" w:rsidRPr="00060A7D">
        <w:rPr>
          <w:rFonts w:ascii="Garamond" w:hAnsi="Garamond"/>
          <w:sz w:val="24"/>
          <w:szCs w:val="24"/>
        </w:rPr>
        <w:t>penerapan</w:t>
      </w:r>
      <w:proofErr w:type="spellEnd"/>
      <w:r w:rsidR="00F63414" w:rsidRPr="00060A7D">
        <w:rPr>
          <w:rFonts w:ascii="Garamond" w:hAnsi="Garamond"/>
          <w:sz w:val="24"/>
          <w:szCs w:val="24"/>
        </w:rPr>
        <w:t xml:space="preserve"> </w:t>
      </w:r>
      <w:proofErr w:type="spellStart"/>
      <w:r w:rsidR="00F63414" w:rsidRPr="00060A7D">
        <w:rPr>
          <w:rFonts w:ascii="Garamond" w:hAnsi="Garamond"/>
          <w:sz w:val="24"/>
          <w:szCs w:val="24"/>
        </w:rPr>
        <w:t>prinsip</w:t>
      </w:r>
      <w:proofErr w:type="spellEnd"/>
      <w:r w:rsidR="00F63414" w:rsidRPr="00060A7D">
        <w:rPr>
          <w:rFonts w:ascii="Garamond" w:hAnsi="Garamond"/>
          <w:sz w:val="24"/>
          <w:szCs w:val="24"/>
        </w:rPr>
        <w:t xml:space="preserve"> moral universal </w:t>
      </w:r>
      <w:proofErr w:type="spellStart"/>
      <w:r w:rsidR="00F63414" w:rsidRPr="00060A7D">
        <w:rPr>
          <w:rFonts w:ascii="Garamond" w:hAnsi="Garamond"/>
          <w:sz w:val="24"/>
          <w:szCs w:val="24"/>
        </w:rPr>
        <w:t>dalam</w:t>
      </w:r>
      <w:proofErr w:type="spellEnd"/>
      <w:r w:rsidR="00F63414" w:rsidRPr="00060A7D">
        <w:rPr>
          <w:rFonts w:ascii="Garamond" w:hAnsi="Garamond"/>
          <w:sz w:val="24"/>
          <w:szCs w:val="24"/>
        </w:rPr>
        <w:t xml:space="preserve"> </w:t>
      </w:r>
      <w:proofErr w:type="spellStart"/>
      <w:r w:rsidR="00F63414" w:rsidRPr="00060A7D">
        <w:rPr>
          <w:rFonts w:ascii="Garamond" w:hAnsi="Garamond"/>
          <w:sz w:val="24"/>
          <w:szCs w:val="24"/>
        </w:rPr>
        <w:t>konteks</w:t>
      </w:r>
      <w:proofErr w:type="spellEnd"/>
      <w:r w:rsidR="00F63414" w:rsidRPr="00060A7D">
        <w:rPr>
          <w:rFonts w:ascii="Garamond" w:hAnsi="Garamond"/>
          <w:sz w:val="24"/>
          <w:szCs w:val="24"/>
        </w:rPr>
        <w:t xml:space="preserve"> </w:t>
      </w:r>
      <w:proofErr w:type="spellStart"/>
      <w:r w:rsidR="00F63414" w:rsidRPr="00060A7D">
        <w:rPr>
          <w:rFonts w:ascii="Garamond" w:hAnsi="Garamond"/>
          <w:sz w:val="24"/>
          <w:szCs w:val="24"/>
        </w:rPr>
        <w:t>kekinian</w:t>
      </w:r>
      <w:proofErr w:type="spellEnd"/>
      <w:r w:rsidR="002E70CA" w:rsidRPr="00060A7D">
        <w:rPr>
          <w:rFonts w:ascii="Garamond" w:hAnsi="Garamond"/>
          <w:sz w:val="24"/>
          <w:szCs w:val="24"/>
        </w:rPr>
        <w:t xml:space="preserve"> </w:t>
      </w:r>
      <w:r w:rsidR="002E70CA" w:rsidRPr="00060A7D">
        <w:rPr>
          <w:rFonts w:ascii="Garamond" w:hAnsi="Garamond"/>
          <w:sz w:val="24"/>
          <w:szCs w:val="24"/>
        </w:rPr>
        <w:fldChar w:fldCharType="begin" w:fldLock="1"/>
      </w:r>
      <w:r w:rsidR="00C87944" w:rsidRPr="00060A7D">
        <w:rPr>
          <w:rFonts w:ascii="Garamond" w:hAnsi="Garamond"/>
          <w:sz w:val="24"/>
          <w:szCs w:val="24"/>
        </w:rPr>
        <w:instrText>ADDIN CSL_CITATION {"citationItems":[{"id":"ITEM-1","itemData":{"DOI":"10.26555/ijish.v4i1.2667","abstract":"The essential consideration is whether hermeneutics as an alternative approach can provide a dialogue between the texts and reality. This is library research, in which the data sources obtained through various written works, both in the form of books and journals. The study is descriptive qualitative that provides a clear picture and systematic about the methodology of Islamic legal thought Fazlur Rahman understandings.Â To synchronize his background with interpretations, then used a normative theological approach, namely an approach that emphasizes form religious symbols originating from the Quran and sunnah text. The double movement hermeneutic theory is his effort in dialoguing between text and context. He appreciates history and adapts developments in every space and time. He tried to do a two-way movement. First, moving from the context of reality to the historical context of texts. Second, moving from the context of historical facts to the context of contemporary reality. Errors in interpreting text often occur due to the separation between the text from its context. In these circumstances, the double movement theory finds its relevance in making the Quran capable of dialogue with every dynamic that occurs. In this way, the text is always alive and as if it was revealed at this time. It contributes to the development of a paradigm of religious moderation. The double movement has strong historical roots in the science of the Quran, including asbab al-nuzul, makkiyah-madaniyah, and nasikh-mansukh.","author":[{"dropping-particle":"","family":"Yusuf","given":"Muhammad","non-dropping-particle":"","parse-names":false,"suffix":""},{"dropping-particle":"","family":"Nahdhiyah","given":"Nahdhiyah","non-dropping-particle":"","parse-names":false,"suffix":""},{"dropping-particle":"","family":"Sadat","given":"Anwar","non-dropping-particle":"","parse-names":false,"suffix":""}],"container-title":"IJISH (International Journal of Islamic Studies and Humanities)","id":"ITEM-1","issue":"1","issued":{"date-parts":[["2021","4","1"]]},"page":"51-71","title":"Fazlur Rahman's Double Movement and It's Contribution to the Development of Religious Moderation","type":"article-journal","volume":"4"},"uris":["http://www.mendeley.com/documents/?uuid=057d7e07-5fc2-451d-ac4b-cc7ff896f9bc"]}],"mendeley":{"formattedCitation":"(Yusuf et al., 2021)","plainTextFormattedCitation":"(Yusuf et al., 2021)","previouslyFormattedCitation":"(Yusuf et al., 2021)"},"properties":{"noteIndex":0},"schema":"https://github.com/citation-style-language/schema/raw/master/csl-citation.json"}</w:instrText>
      </w:r>
      <w:r w:rsidR="002E70CA" w:rsidRPr="00060A7D">
        <w:rPr>
          <w:rFonts w:ascii="Garamond" w:hAnsi="Garamond"/>
          <w:sz w:val="24"/>
          <w:szCs w:val="24"/>
        </w:rPr>
        <w:fldChar w:fldCharType="separate"/>
      </w:r>
      <w:r w:rsidR="002E70CA" w:rsidRPr="00060A7D">
        <w:rPr>
          <w:rFonts w:ascii="Garamond" w:hAnsi="Garamond"/>
          <w:noProof/>
          <w:sz w:val="24"/>
          <w:szCs w:val="24"/>
        </w:rPr>
        <w:t>(Yusuf et al., 2021)</w:t>
      </w:r>
      <w:r w:rsidR="002E70CA" w:rsidRPr="00060A7D">
        <w:rPr>
          <w:rFonts w:ascii="Garamond" w:hAnsi="Garamond"/>
          <w:sz w:val="24"/>
          <w:szCs w:val="24"/>
        </w:rPr>
        <w:fldChar w:fldCharType="end"/>
      </w:r>
      <w:r w:rsidR="00F63414" w:rsidRPr="00060A7D">
        <w:rPr>
          <w:rFonts w:ascii="Garamond" w:hAnsi="Garamond"/>
          <w:sz w:val="24"/>
          <w:szCs w:val="24"/>
        </w:rPr>
        <w:t>.</w:t>
      </w:r>
    </w:p>
    <w:p w14:paraId="2BAD6098" w14:textId="69FB0354" w:rsidR="00E0795C" w:rsidRPr="00060A7D" w:rsidRDefault="00E0795C" w:rsidP="00060A7D">
      <w:pPr>
        <w:pStyle w:val="NoSpacing"/>
        <w:spacing w:line="360" w:lineRule="auto"/>
        <w:ind w:firstLine="851"/>
        <w:jc w:val="both"/>
        <w:rPr>
          <w:rFonts w:ascii="Garamond" w:hAnsi="Garamond"/>
          <w:sz w:val="24"/>
          <w:szCs w:val="24"/>
        </w:rPr>
      </w:pPr>
      <w:proofErr w:type="spellStart"/>
      <w:r w:rsidRPr="00060A7D">
        <w:rPr>
          <w:rFonts w:ascii="Garamond" w:hAnsi="Garamond"/>
          <w:sz w:val="24"/>
          <w:szCs w:val="24"/>
        </w:rPr>
        <w:t>Kerangka</w:t>
      </w:r>
      <w:proofErr w:type="spellEnd"/>
      <w:r w:rsidRPr="00060A7D">
        <w:rPr>
          <w:rFonts w:ascii="Garamond" w:hAnsi="Garamond"/>
          <w:sz w:val="24"/>
          <w:szCs w:val="24"/>
        </w:rPr>
        <w:t xml:space="preserve"> </w:t>
      </w:r>
      <w:proofErr w:type="spellStart"/>
      <w:r w:rsidRPr="00060A7D">
        <w:rPr>
          <w:rFonts w:ascii="Garamond" w:hAnsi="Garamond"/>
          <w:sz w:val="24"/>
          <w:szCs w:val="24"/>
        </w:rPr>
        <w:t>pemikiran</w:t>
      </w:r>
      <w:proofErr w:type="spellEnd"/>
      <w:r w:rsidRPr="00060A7D">
        <w:rPr>
          <w:rFonts w:ascii="Garamond" w:hAnsi="Garamond"/>
          <w:sz w:val="24"/>
          <w:szCs w:val="24"/>
        </w:rPr>
        <w:t xml:space="preserve"> </w:t>
      </w:r>
      <w:proofErr w:type="spellStart"/>
      <w:r w:rsidRPr="00060A7D">
        <w:rPr>
          <w:rFonts w:ascii="Garamond" w:hAnsi="Garamond"/>
          <w:sz w:val="24"/>
          <w:szCs w:val="24"/>
        </w:rPr>
        <w:t>ini</w:t>
      </w:r>
      <w:proofErr w:type="spellEnd"/>
      <w:r w:rsidRPr="00060A7D">
        <w:rPr>
          <w:rFonts w:ascii="Garamond" w:hAnsi="Garamond"/>
          <w:sz w:val="24"/>
          <w:szCs w:val="24"/>
        </w:rPr>
        <w:t xml:space="preserve"> </w:t>
      </w:r>
      <w:proofErr w:type="spellStart"/>
      <w:r w:rsidRPr="00060A7D">
        <w:rPr>
          <w:rFonts w:ascii="Garamond" w:hAnsi="Garamond"/>
          <w:sz w:val="24"/>
          <w:szCs w:val="24"/>
        </w:rPr>
        <w:t>mencoba</w:t>
      </w:r>
      <w:proofErr w:type="spellEnd"/>
      <w:r w:rsidRPr="00060A7D">
        <w:rPr>
          <w:rFonts w:ascii="Garamond" w:hAnsi="Garamond"/>
          <w:sz w:val="24"/>
          <w:szCs w:val="24"/>
        </w:rPr>
        <w:t xml:space="preserve"> </w:t>
      </w:r>
      <w:proofErr w:type="spellStart"/>
      <w:r w:rsidRPr="00060A7D">
        <w:rPr>
          <w:rFonts w:ascii="Garamond" w:hAnsi="Garamond"/>
          <w:sz w:val="24"/>
          <w:szCs w:val="24"/>
        </w:rPr>
        <w:t>menjembatani</w:t>
      </w:r>
      <w:proofErr w:type="spellEnd"/>
      <w:r w:rsidRPr="00060A7D">
        <w:rPr>
          <w:rFonts w:ascii="Garamond" w:hAnsi="Garamond"/>
          <w:sz w:val="24"/>
          <w:szCs w:val="24"/>
        </w:rPr>
        <w:t xml:space="preserve"> </w:t>
      </w:r>
      <w:proofErr w:type="spellStart"/>
      <w:r w:rsidRPr="00060A7D">
        <w:rPr>
          <w:rFonts w:ascii="Garamond" w:hAnsi="Garamond"/>
          <w:sz w:val="24"/>
          <w:szCs w:val="24"/>
        </w:rPr>
        <w:t>antara</w:t>
      </w:r>
      <w:proofErr w:type="spellEnd"/>
      <w:r w:rsidRPr="00060A7D">
        <w:rPr>
          <w:rFonts w:ascii="Garamond" w:hAnsi="Garamond"/>
          <w:sz w:val="24"/>
          <w:szCs w:val="24"/>
        </w:rPr>
        <w:t xml:space="preserve"> </w:t>
      </w:r>
      <w:proofErr w:type="spellStart"/>
      <w:r w:rsidRPr="00060A7D">
        <w:rPr>
          <w:rFonts w:ascii="Garamond" w:hAnsi="Garamond"/>
          <w:sz w:val="24"/>
          <w:szCs w:val="24"/>
        </w:rPr>
        <w:t>teks</w:t>
      </w:r>
      <w:proofErr w:type="spellEnd"/>
      <w:r w:rsidRPr="00060A7D">
        <w:rPr>
          <w:rFonts w:ascii="Garamond" w:hAnsi="Garamond"/>
          <w:sz w:val="24"/>
          <w:szCs w:val="24"/>
        </w:rPr>
        <w:t xml:space="preserve"> dan </w:t>
      </w:r>
      <w:proofErr w:type="spellStart"/>
      <w:r w:rsidRPr="00060A7D">
        <w:rPr>
          <w:rFonts w:ascii="Garamond" w:hAnsi="Garamond"/>
          <w:sz w:val="24"/>
          <w:szCs w:val="24"/>
        </w:rPr>
        <w:t>konteks</w:t>
      </w:r>
      <w:proofErr w:type="spellEnd"/>
      <w:r w:rsidRPr="00060A7D">
        <w:rPr>
          <w:rFonts w:ascii="Garamond" w:hAnsi="Garamond"/>
          <w:sz w:val="24"/>
          <w:szCs w:val="24"/>
        </w:rPr>
        <w:t xml:space="preserve">, </w:t>
      </w:r>
      <w:proofErr w:type="spellStart"/>
      <w:r w:rsidRPr="00060A7D">
        <w:rPr>
          <w:rFonts w:ascii="Garamond" w:hAnsi="Garamond"/>
          <w:sz w:val="24"/>
          <w:szCs w:val="24"/>
        </w:rPr>
        <w:t>antara</w:t>
      </w:r>
      <w:proofErr w:type="spellEnd"/>
      <w:r w:rsidRPr="00060A7D">
        <w:rPr>
          <w:rFonts w:ascii="Garamond" w:hAnsi="Garamond"/>
          <w:sz w:val="24"/>
          <w:szCs w:val="24"/>
        </w:rPr>
        <w:t xml:space="preserve"> </w:t>
      </w:r>
      <w:proofErr w:type="spellStart"/>
      <w:r w:rsidRPr="00060A7D">
        <w:rPr>
          <w:rFonts w:ascii="Garamond" w:hAnsi="Garamond"/>
          <w:sz w:val="24"/>
          <w:szCs w:val="24"/>
        </w:rPr>
        <w:t>normativitas</w:t>
      </w:r>
      <w:proofErr w:type="spellEnd"/>
      <w:r w:rsidRPr="00060A7D">
        <w:rPr>
          <w:rFonts w:ascii="Garamond" w:hAnsi="Garamond"/>
          <w:sz w:val="24"/>
          <w:szCs w:val="24"/>
        </w:rPr>
        <w:t xml:space="preserve"> </w:t>
      </w:r>
      <w:proofErr w:type="spellStart"/>
      <w:r w:rsidRPr="00060A7D">
        <w:rPr>
          <w:rFonts w:ascii="Garamond" w:hAnsi="Garamond"/>
          <w:sz w:val="24"/>
          <w:szCs w:val="24"/>
        </w:rPr>
        <w:t>wahyu</w:t>
      </w:r>
      <w:proofErr w:type="spellEnd"/>
      <w:r w:rsidRPr="00060A7D">
        <w:rPr>
          <w:rFonts w:ascii="Garamond" w:hAnsi="Garamond"/>
          <w:sz w:val="24"/>
          <w:szCs w:val="24"/>
        </w:rPr>
        <w:t xml:space="preserve"> dan </w:t>
      </w:r>
      <w:proofErr w:type="spellStart"/>
      <w:r w:rsidRPr="00060A7D">
        <w:rPr>
          <w:rFonts w:ascii="Garamond" w:hAnsi="Garamond"/>
          <w:sz w:val="24"/>
          <w:szCs w:val="24"/>
        </w:rPr>
        <w:t>dinamika</w:t>
      </w:r>
      <w:proofErr w:type="spellEnd"/>
      <w:r w:rsidRPr="00060A7D">
        <w:rPr>
          <w:rFonts w:ascii="Garamond" w:hAnsi="Garamond"/>
          <w:sz w:val="24"/>
          <w:szCs w:val="24"/>
        </w:rPr>
        <w:t xml:space="preserve"> </w:t>
      </w:r>
      <w:proofErr w:type="spellStart"/>
      <w:r w:rsidRPr="00060A7D">
        <w:rPr>
          <w:rFonts w:ascii="Garamond" w:hAnsi="Garamond"/>
          <w:sz w:val="24"/>
          <w:szCs w:val="24"/>
        </w:rPr>
        <w:t>kehidupan</w:t>
      </w:r>
      <w:proofErr w:type="spellEnd"/>
      <w:r w:rsidRPr="00060A7D">
        <w:rPr>
          <w:rFonts w:ascii="Garamond" w:hAnsi="Garamond"/>
          <w:sz w:val="24"/>
          <w:szCs w:val="24"/>
        </w:rPr>
        <w:t xml:space="preserve"> </w:t>
      </w:r>
      <w:proofErr w:type="spellStart"/>
      <w:r w:rsidRPr="00060A7D">
        <w:rPr>
          <w:rFonts w:ascii="Garamond" w:hAnsi="Garamond"/>
          <w:sz w:val="24"/>
          <w:szCs w:val="24"/>
        </w:rPr>
        <w:t>sosial</w:t>
      </w:r>
      <w:proofErr w:type="spellEnd"/>
      <w:r w:rsidRPr="00060A7D">
        <w:rPr>
          <w:rFonts w:ascii="Garamond" w:hAnsi="Garamond"/>
          <w:sz w:val="24"/>
          <w:szCs w:val="24"/>
        </w:rPr>
        <w:t xml:space="preserve">. </w:t>
      </w:r>
      <w:proofErr w:type="spellStart"/>
      <w:r w:rsidRPr="00060A7D">
        <w:rPr>
          <w:rFonts w:ascii="Garamond" w:hAnsi="Garamond"/>
          <w:sz w:val="24"/>
          <w:szCs w:val="24"/>
        </w:rPr>
        <w:t>Pendekatan</w:t>
      </w:r>
      <w:proofErr w:type="spellEnd"/>
      <w:r w:rsidRPr="00060A7D">
        <w:rPr>
          <w:rFonts w:ascii="Garamond" w:hAnsi="Garamond"/>
          <w:sz w:val="24"/>
          <w:szCs w:val="24"/>
        </w:rPr>
        <w:t xml:space="preserve"> </w:t>
      </w:r>
      <w:proofErr w:type="spellStart"/>
      <w:r w:rsidRPr="00060A7D">
        <w:rPr>
          <w:rFonts w:ascii="Garamond" w:hAnsi="Garamond"/>
          <w:sz w:val="24"/>
          <w:szCs w:val="24"/>
        </w:rPr>
        <w:t>etika-hukum</w:t>
      </w:r>
      <w:proofErr w:type="spellEnd"/>
      <w:r w:rsidRPr="00060A7D">
        <w:rPr>
          <w:rFonts w:ascii="Garamond" w:hAnsi="Garamond"/>
          <w:sz w:val="24"/>
          <w:szCs w:val="24"/>
        </w:rPr>
        <w:t xml:space="preserve"> Fazlur Rahman </w:t>
      </w:r>
      <w:proofErr w:type="spellStart"/>
      <w:r w:rsidRPr="00060A7D">
        <w:rPr>
          <w:rFonts w:ascii="Garamond" w:hAnsi="Garamond"/>
          <w:sz w:val="24"/>
          <w:szCs w:val="24"/>
        </w:rPr>
        <w:t>tidak</w:t>
      </w:r>
      <w:proofErr w:type="spellEnd"/>
      <w:r w:rsidRPr="00060A7D">
        <w:rPr>
          <w:rFonts w:ascii="Garamond" w:hAnsi="Garamond"/>
          <w:sz w:val="24"/>
          <w:szCs w:val="24"/>
        </w:rPr>
        <w:t xml:space="preserve"> </w:t>
      </w:r>
      <w:proofErr w:type="spellStart"/>
      <w:r w:rsidRPr="00060A7D">
        <w:rPr>
          <w:rFonts w:ascii="Garamond" w:hAnsi="Garamond"/>
          <w:sz w:val="24"/>
          <w:szCs w:val="24"/>
        </w:rPr>
        <w:t>hanya</w:t>
      </w:r>
      <w:proofErr w:type="spellEnd"/>
      <w:r w:rsidRPr="00060A7D">
        <w:rPr>
          <w:rFonts w:ascii="Garamond" w:hAnsi="Garamond"/>
          <w:sz w:val="24"/>
          <w:szCs w:val="24"/>
        </w:rPr>
        <w:t xml:space="preserve"> </w:t>
      </w:r>
      <w:proofErr w:type="spellStart"/>
      <w:r w:rsidRPr="00060A7D">
        <w:rPr>
          <w:rFonts w:ascii="Garamond" w:hAnsi="Garamond"/>
          <w:sz w:val="24"/>
          <w:szCs w:val="24"/>
        </w:rPr>
        <w:t>menawarkan</w:t>
      </w:r>
      <w:proofErr w:type="spellEnd"/>
      <w:r w:rsidRPr="00060A7D">
        <w:rPr>
          <w:rFonts w:ascii="Garamond" w:hAnsi="Garamond"/>
          <w:sz w:val="24"/>
          <w:szCs w:val="24"/>
        </w:rPr>
        <w:t xml:space="preserve"> </w:t>
      </w:r>
      <w:proofErr w:type="spellStart"/>
      <w:r w:rsidRPr="00060A7D">
        <w:rPr>
          <w:rFonts w:ascii="Garamond" w:hAnsi="Garamond"/>
          <w:sz w:val="24"/>
          <w:szCs w:val="24"/>
        </w:rPr>
        <w:t>solusi</w:t>
      </w:r>
      <w:proofErr w:type="spellEnd"/>
      <w:r w:rsidRPr="00060A7D">
        <w:rPr>
          <w:rFonts w:ascii="Garamond" w:hAnsi="Garamond"/>
          <w:sz w:val="24"/>
          <w:szCs w:val="24"/>
        </w:rPr>
        <w:t xml:space="preserve"> </w:t>
      </w:r>
      <w:proofErr w:type="spellStart"/>
      <w:r w:rsidRPr="00060A7D">
        <w:rPr>
          <w:rFonts w:ascii="Garamond" w:hAnsi="Garamond"/>
          <w:sz w:val="24"/>
          <w:szCs w:val="24"/>
        </w:rPr>
        <w:t>terhadap</w:t>
      </w:r>
      <w:proofErr w:type="spellEnd"/>
      <w:r w:rsidRPr="00060A7D">
        <w:rPr>
          <w:rFonts w:ascii="Garamond" w:hAnsi="Garamond"/>
          <w:sz w:val="24"/>
          <w:szCs w:val="24"/>
        </w:rPr>
        <w:t xml:space="preserve"> </w:t>
      </w:r>
      <w:proofErr w:type="spellStart"/>
      <w:r w:rsidRPr="00060A7D">
        <w:rPr>
          <w:rFonts w:ascii="Garamond" w:hAnsi="Garamond"/>
          <w:sz w:val="24"/>
          <w:szCs w:val="24"/>
        </w:rPr>
        <w:t>stagnasi</w:t>
      </w:r>
      <w:proofErr w:type="spellEnd"/>
      <w:r w:rsidRPr="00060A7D">
        <w:rPr>
          <w:rFonts w:ascii="Garamond" w:hAnsi="Garamond"/>
          <w:sz w:val="24"/>
          <w:szCs w:val="24"/>
        </w:rPr>
        <w:t xml:space="preserve"> </w:t>
      </w:r>
      <w:proofErr w:type="spellStart"/>
      <w:r w:rsidRPr="00060A7D">
        <w:rPr>
          <w:rFonts w:ascii="Garamond" w:hAnsi="Garamond"/>
          <w:sz w:val="24"/>
          <w:szCs w:val="24"/>
        </w:rPr>
        <w:t>pemikiran</w:t>
      </w:r>
      <w:proofErr w:type="spellEnd"/>
      <w:r w:rsidRPr="00060A7D">
        <w:rPr>
          <w:rFonts w:ascii="Garamond" w:hAnsi="Garamond"/>
          <w:sz w:val="24"/>
          <w:szCs w:val="24"/>
        </w:rPr>
        <w:t xml:space="preserve"> </w:t>
      </w:r>
      <w:proofErr w:type="spellStart"/>
      <w:r w:rsidRPr="00060A7D">
        <w:rPr>
          <w:rFonts w:ascii="Garamond" w:hAnsi="Garamond"/>
          <w:sz w:val="24"/>
          <w:szCs w:val="24"/>
        </w:rPr>
        <w:t>hukum</w:t>
      </w:r>
      <w:proofErr w:type="spellEnd"/>
      <w:r w:rsidRPr="00060A7D">
        <w:rPr>
          <w:rFonts w:ascii="Garamond" w:hAnsi="Garamond"/>
          <w:sz w:val="24"/>
          <w:szCs w:val="24"/>
        </w:rPr>
        <w:t xml:space="preserve"> Islam, </w:t>
      </w:r>
      <w:proofErr w:type="spellStart"/>
      <w:r w:rsidRPr="00060A7D">
        <w:rPr>
          <w:rFonts w:ascii="Garamond" w:hAnsi="Garamond"/>
          <w:sz w:val="24"/>
          <w:szCs w:val="24"/>
        </w:rPr>
        <w:t>tetapi</w:t>
      </w:r>
      <w:proofErr w:type="spellEnd"/>
      <w:r w:rsidRPr="00060A7D">
        <w:rPr>
          <w:rFonts w:ascii="Garamond" w:hAnsi="Garamond"/>
          <w:sz w:val="24"/>
          <w:szCs w:val="24"/>
        </w:rPr>
        <w:t xml:space="preserve"> juga </w:t>
      </w:r>
      <w:proofErr w:type="spellStart"/>
      <w:r w:rsidRPr="00060A7D">
        <w:rPr>
          <w:rFonts w:ascii="Garamond" w:hAnsi="Garamond"/>
          <w:sz w:val="24"/>
          <w:szCs w:val="24"/>
        </w:rPr>
        <w:t>membuka</w:t>
      </w:r>
      <w:proofErr w:type="spellEnd"/>
      <w:r w:rsidRPr="00060A7D">
        <w:rPr>
          <w:rFonts w:ascii="Garamond" w:hAnsi="Garamond"/>
          <w:sz w:val="24"/>
          <w:szCs w:val="24"/>
        </w:rPr>
        <w:t xml:space="preserve"> </w:t>
      </w:r>
      <w:proofErr w:type="spellStart"/>
      <w:r w:rsidRPr="00060A7D">
        <w:rPr>
          <w:rFonts w:ascii="Garamond" w:hAnsi="Garamond"/>
          <w:sz w:val="24"/>
          <w:szCs w:val="24"/>
        </w:rPr>
        <w:t>ruang</w:t>
      </w:r>
      <w:proofErr w:type="spellEnd"/>
      <w:r w:rsidRPr="00060A7D">
        <w:rPr>
          <w:rFonts w:ascii="Garamond" w:hAnsi="Garamond"/>
          <w:sz w:val="24"/>
          <w:szCs w:val="24"/>
        </w:rPr>
        <w:t xml:space="preserve"> dialog </w:t>
      </w:r>
      <w:proofErr w:type="spellStart"/>
      <w:r w:rsidRPr="00060A7D">
        <w:rPr>
          <w:rFonts w:ascii="Garamond" w:hAnsi="Garamond"/>
          <w:sz w:val="24"/>
          <w:szCs w:val="24"/>
        </w:rPr>
        <w:t>antara</w:t>
      </w:r>
      <w:proofErr w:type="spellEnd"/>
      <w:r w:rsidRPr="00060A7D">
        <w:rPr>
          <w:rFonts w:ascii="Garamond" w:hAnsi="Garamond"/>
          <w:sz w:val="24"/>
          <w:szCs w:val="24"/>
        </w:rPr>
        <w:t xml:space="preserve"> </w:t>
      </w:r>
      <w:proofErr w:type="spellStart"/>
      <w:r w:rsidRPr="00060A7D">
        <w:rPr>
          <w:rFonts w:ascii="Garamond" w:hAnsi="Garamond"/>
          <w:sz w:val="24"/>
          <w:szCs w:val="24"/>
        </w:rPr>
        <w:t>nilai-nilai</w:t>
      </w:r>
      <w:proofErr w:type="spellEnd"/>
      <w:r w:rsidRPr="00060A7D">
        <w:rPr>
          <w:rFonts w:ascii="Garamond" w:hAnsi="Garamond"/>
          <w:sz w:val="24"/>
          <w:szCs w:val="24"/>
        </w:rPr>
        <w:t xml:space="preserve"> Islam </w:t>
      </w:r>
      <w:proofErr w:type="spellStart"/>
      <w:r w:rsidRPr="00060A7D">
        <w:rPr>
          <w:rFonts w:ascii="Garamond" w:hAnsi="Garamond"/>
          <w:sz w:val="24"/>
          <w:szCs w:val="24"/>
        </w:rPr>
        <w:t>dengan</w:t>
      </w:r>
      <w:proofErr w:type="spellEnd"/>
      <w:r w:rsidRPr="00060A7D">
        <w:rPr>
          <w:rFonts w:ascii="Garamond" w:hAnsi="Garamond"/>
          <w:sz w:val="24"/>
          <w:szCs w:val="24"/>
        </w:rPr>
        <w:t xml:space="preserve"> </w:t>
      </w:r>
      <w:proofErr w:type="spellStart"/>
      <w:r w:rsidRPr="00060A7D">
        <w:rPr>
          <w:rFonts w:ascii="Garamond" w:hAnsi="Garamond"/>
          <w:sz w:val="24"/>
          <w:szCs w:val="24"/>
        </w:rPr>
        <w:t>prinsip-prinsip</w:t>
      </w:r>
      <w:proofErr w:type="spellEnd"/>
      <w:r w:rsidRPr="00060A7D">
        <w:rPr>
          <w:rFonts w:ascii="Garamond" w:hAnsi="Garamond"/>
          <w:sz w:val="24"/>
          <w:szCs w:val="24"/>
        </w:rPr>
        <w:t xml:space="preserve"> modern </w:t>
      </w:r>
      <w:proofErr w:type="spellStart"/>
      <w:r w:rsidRPr="00060A7D">
        <w:rPr>
          <w:rFonts w:ascii="Garamond" w:hAnsi="Garamond"/>
          <w:sz w:val="24"/>
          <w:szCs w:val="24"/>
        </w:rPr>
        <w:t>seperti</w:t>
      </w:r>
      <w:proofErr w:type="spellEnd"/>
      <w:r w:rsidRPr="00060A7D">
        <w:rPr>
          <w:rFonts w:ascii="Garamond" w:hAnsi="Garamond"/>
          <w:sz w:val="24"/>
          <w:szCs w:val="24"/>
        </w:rPr>
        <w:t xml:space="preserve"> </w:t>
      </w:r>
      <w:proofErr w:type="spellStart"/>
      <w:r w:rsidRPr="00060A7D">
        <w:rPr>
          <w:rFonts w:ascii="Garamond" w:hAnsi="Garamond"/>
          <w:sz w:val="24"/>
          <w:szCs w:val="24"/>
        </w:rPr>
        <w:t>keadilan</w:t>
      </w:r>
      <w:proofErr w:type="spellEnd"/>
      <w:r w:rsidRPr="00060A7D">
        <w:rPr>
          <w:rFonts w:ascii="Garamond" w:hAnsi="Garamond"/>
          <w:sz w:val="24"/>
          <w:szCs w:val="24"/>
        </w:rPr>
        <w:t xml:space="preserve"> </w:t>
      </w:r>
      <w:proofErr w:type="spellStart"/>
      <w:r w:rsidRPr="00060A7D">
        <w:rPr>
          <w:rFonts w:ascii="Garamond" w:hAnsi="Garamond"/>
          <w:sz w:val="24"/>
          <w:szCs w:val="24"/>
        </w:rPr>
        <w:t>sosial</w:t>
      </w:r>
      <w:proofErr w:type="spellEnd"/>
      <w:r w:rsidRPr="00060A7D">
        <w:rPr>
          <w:rFonts w:ascii="Garamond" w:hAnsi="Garamond"/>
          <w:sz w:val="24"/>
          <w:szCs w:val="24"/>
        </w:rPr>
        <w:t xml:space="preserve">, </w:t>
      </w:r>
      <w:proofErr w:type="spellStart"/>
      <w:r w:rsidRPr="00060A7D">
        <w:rPr>
          <w:rFonts w:ascii="Garamond" w:hAnsi="Garamond"/>
          <w:sz w:val="24"/>
          <w:szCs w:val="24"/>
        </w:rPr>
        <w:t>kesetaraan</w:t>
      </w:r>
      <w:proofErr w:type="spellEnd"/>
      <w:r w:rsidRPr="00060A7D">
        <w:rPr>
          <w:rFonts w:ascii="Garamond" w:hAnsi="Garamond"/>
          <w:sz w:val="24"/>
          <w:szCs w:val="24"/>
        </w:rPr>
        <w:t xml:space="preserve">, dan </w:t>
      </w:r>
      <w:proofErr w:type="spellStart"/>
      <w:r w:rsidRPr="00060A7D">
        <w:rPr>
          <w:rFonts w:ascii="Garamond" w:hAnsi="Garamond"/>
          <w:sz w:val="24"/>
          <w:szCs w:val="24"/>
        </w:rPr>
        <w:t>hak</w:t>
      </w:r>
      <w:proofErr w:type="spellEnd"/>
      <w:r w:rsidRPr="00060A7D">
        <w:rPr>
          <w:rFonts w:ascii="Garamond" w:hAnsi="Garamond"/>
          <w:sz w:val="24"/>
          <w:szCs w:val="24"/>
        </w:rPr>
        <w:t xml:space="preserve"> </w:t>
      </w:r>
      <w:proofErr w:type="spellStart"/>
      <w:r w:rsidRPr="00060A7D">
        <w:rPr>
          <w:rFonts w:ascii="Garamond" w:hAnsi="Garamond"/>
          <w:sz w:val="24"/>
          <w:szCs w:val="24"/>
        </w:rPr>
        <w:t>asasi</w:t>
      </w:r>
      <w:proofErr w:type="spellEnd"/>
      <w:r w:rsidRPr="00060A7D">
        <w:rPr>
          <w:rFonts w:ascii="Garamond" w:hAnsi="Garamond"/>
          <w:sz w:val="24"/>
          <w:szCs w:val="24"/>
        </w:rPr>
        <w:t xml:space="preserve"> </w:t>
      </w:r>
      <w:proofErr w:type="spellStart"/>
      <w:r w:rsidRPr="00060A7D">
        <w:rPr>
          <w:rFonts w:ascii="Garamond" w:hAnsi="Garamond"/>
          <w:sz w:val="24"/>
          <w:szCs w:val="24"/>
        </w:rPr>
        <w:t>manusia</w:t>
      </w:r>
      <w:proofErr w:type="spellEnd"/>
      <w:r w:rsidR="00F63414" w:rsidRPr="00060A7D">
        <w:rPr>
          <w:rFonts w:ascii="Garamond" w:hAnsi="Garamond"/>
          <w:sz w:val="24"/>
          <w:szCs w:val="24"/>
        </w:rPr>
        <w:t xml:space="preserve"> </w:t>
      </w:r>
      <w:r w:rsidR="00F63414" w:rsidRPr="00060A7D">
        <w:rPr>
          <w:rFonts w:ascii="Garamond" w:hAnsi="Garamond"/>
          <w:sz w:val="24"/>
          <w:szCs w:val="24"/>
        </w:rPr>
        <w:fldChar w:fldCharType="begin" w:fldLock="1"/>
      </w:r>
      <w:r w:rsidR="00F63414" w:rsidRPr="00060A7D">
        <w:rPr>
          <w:rFonts w:ascii="Garamond" w:hAnsi="Garamond"/>
          <w:sz w:val="24"/>
          <w:szCs w:val="24"/>
        </w:rPr>
        <w:instrText>ADDIN CSL_CITATION {"citationItems":[{"id":"ITEM-1","itemData":{"author":[{"dropping-particle":"","family":"Wekke","given":"Ismail Suardi","non-dropping-particle":"","parse-names":false,"suffix":""}],"container-title":"IJHABS: International Journal of Humanity Advance, Business &amp; Sciences","id":"ITEM-1","issue":"3","issued":{"date-parts":[["2025"]]},"page":"299-312","title":"Notable Individuals Named Fazlur Rahman: A Comparative Biographical Study","type":"article-journal","volume":"2"},"uris":["http://www.mendeley.com/documents/?uuid=3491d8ed-6d05-429f-ad5c-1fe33c7923eb"]}],"mendeley":{"formattedCitation":"(Wekke, 2025)","plainTextFormattedCitation":"(Wekke, 2025)","previouslyFormattedCitation":"(Wekke, 2025)"},"properties":{"noteIndex":0},"schema":"https://github.com/citation-style-language/schema/raw/master/csl-citation.json"}</w:instrText>
      </w:r>
      <w:r w:rsidR="00F63414" w:rsidRPr="00060A7D">
        <w:rPr>
          <w:rFonts w:ascii="Garamond" w:hAnsi="Garamond"/>
          <w:sz w:val="24"/>
          <w:szCs w:val="24"/>
        </w:rPr>
        <w:fldChar w:fldCharType="separate"/>
      </w:r>
      <w:r w:rsidR="00F63414" w:rsidRPr="00060A7D">
        <w:rPr>
          <w:rFonts w:ascii="Garamond" w:hAnsi="Garamond"/>
          <w:noProof/>
          <w:sz w:val="24"/>
          <w:szCs w:val="24"/>
        </w:rPr>
        <w:t>(Wekke, 2025)</w:t>
      </w:r>
      <w:r w:rsidR="00F63414" w:rsidRPr="00060A7D">
        <w:rPr>
          <w:rFonts w:ascii="Garamond" w:hAnsi="Garamond"/>
          <w:sz w:val="24"/>
          <w:szCs w:val="24"/>
        </w:rPr>
        <w:fldChar w:fldCharType="end"/>
      </w:r>
      <w:r w:rsidRPr="00060A7D">
        <w:rPr>
          <w:rFonts w:ascii="Garamond" w:hAnsi="Garamond"/>
          <w:sz w:val="24"/>
          <w:szCs w:val="24"/>
        </w:rPr>
        <w:t xml:space="preserve">. Oleh </w:t>
      </w:r>
      <w:proofErr w:type="spellStart"/>
      <w:r w:rsidRPr="00060A7D">
        <w:rPr>
          <w:rFonts w:ascii="Garamond" w:hAnsi="Garamond"/>
          <w:sz w:val="24"/>
          <w:szCs w:val="24"/>
        </w:rPr>
        <w:t>karena</w:t>
      </w:r>
      <w:proofErr w:type="spellEnd"/>
      <w:r w:rsidRPr="00060A7D">
        <w:rPr>
          <w:rFonts w:ascii="Garamond" w:hAnsi="Garamond"/>
          <w:sz w:val="24"/>
          <w:szCs w:val="24"/>
        </w:rPr>
        <w:t xml:space="preserve"> </w:t>
      </w:r>
      <w:proofErr w:type="spellStart"/>
      <w:r w:rsidRPr="00060A7D">
        <w:rPr>
          <w:rFonts w:ascii="Garamond" w:hAnsi="Garamond"/>
          <w:sz w:val="24"/>
          <w:szCs w:val="24"/>
        </w:rPr>
        <w:t>itu</w:t>
      </w:r>
      <w:proofErr w:type="spellEnd"/>
      <w:r w:rsidRPr="00060A7D">
        <w:rPr>
          <w:rFonts w:ascii="Garamond" w:hAnsi="Garamond"/>
          <w:sz w:val="24"/>
          <w:szCs w:val="24"/>
        </w:rPr>
        <w:t xml:space="preserve">, </w:t>
      </w:r>
      <w:proofErr w:type="spellStart"/>
      <w:r w:rsidRPr="00060A7D">
        <w:rPr>
          <w:rFonts w:ascii="Garamond" w:hAnsi="Garamond"/>
          <w:sz w:val="24"/>
          <w:szCs w:val="24"/>
        </w:rPr>
        <w:t>analisis</w:t>
      </w:r>
      <w:proofErr w:type="spellEnd"/>
      <w:r w:rsidRPr="00060A7D">
        <w:rPr>
          <w:rFonts w:ascii="Garamond" w:hAnsi="Garamond"/>
          <w:sz w:val="24"/>
          <w:szCs w:val="24"/>
        </w:rPr>
        <w:t xml:space="preserve"> </w:t>
      </w:r>
      <w:proofErr w:type="spellStart"/>
      <w:r w:rsidRPr="00060A7D">
        <w:rPr>
          <w:rFonts w:ascii="Garamond" w:hAnsi="Garamond"/>
          <w:sz w:val="24"/>
          <w:szCs w:val="24"/>
        </w:rPr>
        <w:t>terhadap</w:t>
      </w:r>
      <w:proofErr w:type="spellEnd"/>
      <w:r w:rsidRPr="00060A7D">
        <w:rPr>
          <w:rFonts w:ascii="Garamond" w:hAnsi="Garamond"/>
          <w:sz w:val="24"/>
          <w:szCs w:val="24"/>
        </w:rPr>
        <w:t xml:space="preserve"> </w:t>
      </w:r>
      <w:proofErr w:type="spellStart"/>
      <w:r w:rsidRPr="00060A7D">
        <w:rPr>
          <w:rFonts w:ascii="Garamond" w:hAnsi="Garamond"/>
          <w:sz w:val="24"/>
          <w:szCs w:val="24"/>
        </w:rPr>
        <w:t>kerangka</w:t>
      </w:r>
      <w:proofErr w:type="spellEnd"/>
      <w:r w:rsidRPr="00060A7D">
        <w:rPr>
          <w:rFonts w:ascii="Garamond" w:hAnsi="Garamond"/>
          <w:sz w:val="24"/>
          <w:szCs w:val="24"/>
        </w:rPr>
        <w:t xml:space="preserve"> </w:t>
      </w:r>
      <w:proofErr w:type="spellStart"/>
      <w:r w:rsidRPr="00060A7D">
        <w:rPr>
          <w:rFonts w:ascii="Garamond" w:hAnsi="Garamond"/>
          <w:sz w:val="24"/>
          <w:szCs w:val="24"/>
        </w:rPr>
        <w:t>penafsiran</w:t>
      </w:r>
      <w:proofErr w:type="spellEnd"/>
      <w:r w:rsidRPr="00060A7D">
        <w:rPr>
          <w:rFonts w:ascii="Garamond" w:hAnsi="Garamond"/>
          <w:sz w:val="24"/>
          <w:szCs w:val="24"/>
        </w:rPr>
        <w:t xml:space="preserve"> </w:t>
      </w:r>
      <w:proofErr w:type="spellStart"/>
      <w:r w:rsidRPr="00060A7D">
        <w:rPr>
          <w:rFonts w:ascii="Garamond" w:hAnsi="Garamond"/>
          <w:sz w:val="24"/>
          <w:szCs w:val="24"/>
        </w:rPr>
        <w:t>ini</w:t>
      </w:r>
      <w:proofErr w:type="spellEnd"/>
      <w:r w:rsidRPr="00060A7D">
        <w:rPr>
          <w:rFonts w:ascii="Garamond" w:hAnsi="Garamond"/>
          <w:sz w:val="24"/>
          <w:szCs w:val="24"/>
        </w:rPr>
        <w:t xml:space="preserve"> </w:t>
      </w:r>
      <w:proofErr w:type="spellStart"/>
      <w:r w:rsidRPr="00060A7D">
        <w:rPr>
          <w:rFonts w:ascii="Garamond" w:hAnsi="Garamond"/>
          <w:sz w:val="24"/>
          <w:szCs w:val="24"/>
        </w:rPr>
        <w:t>menjadi</w:t>
      </w:r>
      <w:proofErr w:type="spellEnd"/>
      <w:r w:rsidRPr="00060A7D">
        <w:rPr>
          <w:rFonts w:ascii="Garamond" w:hAnsi="Garamond"/>
          <w:sz w:val="24"/>
          <w:szCs w:val="24"/>
        </w:rPr>
        <w:t xml:space="preserve"> sangat </w:t>
      </w:r>
      <w:proofErr w:type="spellStart"/>
      <w:r w:rsidRPr="00060A7D">
        <w:rPr>
          <w:rFonts w:ascii="Garamond" w:hAnsi="Garamond"/>
          <w:sz w:val="24"/>
          <w:szCs w:val="24"/>
        </w:rPr>
        <w:t>relevan</w:t>
      </w:r>
      <w:proofErr w:type="spellEnd"/>
      <w:r w:rsidRPr="00060A7D">
        <w:rPr>
          <w:rFonts w:ascii="Garamond" w:hAnsi="Garamond"/>
          <w:sz w:val="24"/>
          <w:szCs w:val="24"/>
        </w:rPr>
        <w:t xml:space="preserve">, </w:t>
      </w:r>
      <w:proofErr w:type="spellStart"/>
      <w:r w:rsidRPr="00060A7D">
        <w:rPr>
          <w:rFonts w:ascii="Garamond" w:hAnsi="Garamond"/>
          <w:sz w:val="24"/>
          <w:szCs w:val="24"/>
        </w:rPr>
        <w:t>terutama</w:t>
      </w:r>
      <w:proofErr w:type="spellEnd"/>
      <w:r w:rsidRPr="00060A7D">
        <w:rPr>
          <w:rFonts w:ascii="Garamond" w:hAnsi="Garamond"/>
          <w:sz w:val="24"/>
          <w:szCs w:val="24"/>
        </w:rPr>
        <w:t xml:space="preserve"> </w:t>
      </w:r>
      <w:proofErr w:type="spellStart"/>
      <w:r w:rsidRPr="00060A7D">
        <w:rPr>
          <w:rFonts w:ascii="Garamond" w:hAnsi="Garamond"/>
          <w:sz w:val="24"/>
          <w:szCs w:val="24"/>
        </w:rPr>
        <w:t>dalam</w:t>
      </w:r>
      <w:proofErr w:type="spellEnd"/>
      <w:r w:rsidRPr="00060A7D">
        <w:rPr>
          <w:rFonts w:ascii="Garamond" w:hAnsi="Garamond"/>
          <w:sz w:val="24"/>
          <w:szCs w:val="24"/>
        </w:rPr>
        <w:t xml:space="preserve"> </w:t>
      </w:r>
      <w:proofErr w:type="spellStart"/>
      <w:r w:rsidRPr="00060A7D">
        <w:rPr>
          <w:rFonts w:ascii="Garamond" w:hAnsi="Garamond"/>
          <w:sz w:val="24"/>
          <w:szCs w:val="24"/>
        </w:rPr>
        <w:t>upaya</w:t>
      </w:r>
      <w:proofErr w:type="spellEnd"/>
      <w:r w:rsidRPr="00060A7D">
        <w:rPr>
          <w:rFonts w:ascii="Garamond" w:hAnsi="Garamond"/>
          <w:sz w:val="24"/>
          <w:szCs w:val="24"/>
        </w:rPr>
        <w:t xml:space="preserve"> </w:t>
      </w:r>
      <w:proofErr w:type="spellStart"/>
      <w:r w:rsidRPr="00060A7D">
        <w:rPr>
          <w:rFonts w:ascii="Garamond" w:hAnsi="Garamond"/>
          <w:sz w:val="24"/>
          <w:szCs w:val="24"/>
        </w:rPr>
        <w:t>merumuskan</w:t>
      </w:r>
      <w:proofErr w:type="spellEnd"/>
      <w:r w:rsidRPr="00060A7D">
        <w:rPr>
          <w:rFonts w:ascii="Garamond" w:hAnsi="Garamond"/>
          <w:sz w:val="24"/>
          <w:szCs w:val="24"/>
        </w:rPr>
        <w:t xml:space="preserve"> </w:t>
      </w:r>
      <w:proofErr w:type="spellStart"/>
      <w:r w:rsidRPr="00060A7D">
        <w:rPr>
          <w:rFonts w:ascii="Garamond" w:hAnsi="Garamond"/>
          <w:sz w:val="24"/>
          <w:szCs w:val="24"/>
        </w:rPr>
        <w:t>kembali</w:t>
      </w:r>
      <w:proofErr w:type="spellEnd"/>
      <w:r w:rsidRPr="00060A7D">
        <w:rPr>
          <w:rFonts w:ascii="Garamond" w:hAnsi="Garamond"/>
          <w:sz w:val="24"/>
          <w:szCs w:val="24"/>
        </w:rPr>
        <w:t xml:space="preserve"> </w:t>
      </w:r>
      <w:proofErr w:type="spellStart"/>
      <w:r w:rsidRPr="00060A7D">
        <w:rPr>
          <w:rFonts w:ascii="Garamond" w:hAnsi="Garamond"/>
          <w:sz w:val="24"/>
          <w:szCs w:val="24"/>
        </w:rPr>
        <w:t>pemahaman</w:t>
      </w:r>
      <w:proofErr w:type="spellEnd"/>
      <w:r w:rsidRPr="00060A7D">
        <w:rPr>
          <w:rFonts w:ascii="Garamond" w:hAnsi="Garamond"/>
          <w:sz w:val="24"/>
          <w:szCs w:val="24"/>
        </w:rPr>
        <w:t xml:space="preserve"> </w:t>
      </w:r>
      <w:proofErr w:type="spellStart"/>
      <w:r w:rsidRPr="00060A7D">
        <w:rPr>
          <w:rFonts w:ascii="Garamond" w:hAnsi="Garamond"/>
          <w:sz w:val="24"/>
          <w:szCs w:val="24"/>
        </w:rPr>
        <w:t>hukum</w:t>
      </w:r>
      <w:proofErr w:type="spellEnd"/>
      <w:r w:rsidRPr="00060A7D">
        <w:rPr>
          <w:rFonts w:ascii="Garamond" w:hAnsi="Garamond"/>
          <w:sz w:val="24"/>
          <w:szCs w:val="24"/>
        </w:rPr>
        <w:t xml:space="preserve"> Islam yang </w:t>
      </w:r>
      <w:proofErr w:type="spellStart"/>
      <w:r w:rsidRPr="00060A7D">
        <w:rPr>
          <w:rFonts w:ascii="Garamond" w:hAnsi="Garamond"/>
          <w:sz w:val="24"/>
          <w:szCs w:val="24"/>
        </w:rPr>
        <w:t>tidak</w:t>
      </w:r>
      <w:proofErr w:type="spellEnd"/>
      <w:r w:rsidRPr="00060A7D">
        <w:rPr>
          <w:rFonts w:ascii="Garamond" w:hAnsi="Garamond"/>
          <w:sz w:val="24"/>
          <w:szCs w:val="24"/>
        </w:rPr>
        <w:t xml:space="preserve"> </w:t>
      </w:r>
      <w:proofErr w:type="spellStart"/>
      <w:r w:rsidRPr="00060A7D">
        <w:rPr>
          <w:rFonts w:ascii="Garamond" w:hAnsi="Garamond"/>
          <w:sz w:val="24"/>
          <w:szCs w:val="24"/>
        </w:rPr>
        <w:t>hanya</w:t>
      </w:r>
      <w:proofErr w:type="spellEnd"/>
      <w:r w:rsidRPr="00060A7D">
        <w:rPr>
          <w:rFonts w:ascii="Garamond" w:hAnsi="Garamond"/>
          <w:sz w:val="24"/>
          <w:szCs w:val="24"/>
        </w:rPr>
        <w:t xml:space="preserve"> sahih </w:t>
      </w:r>
      <w:proofErr w:type="spellStart"/>
      <w:r w:rsidRPr="00060A7D">
        <w:rPr>
          <w:rFonts w:ascii="Garamond" w:hAnsi="Garamond"/>
          <w:sz w:val="24"/>
          <w:szCs w:val="24"/>
        </w:rPr>
        <w:t>secara</w:t>
      </w:r>
      <w:proofErr w:type="spellEnd"/>
      <w:r w:rsidRPr="00060A7D">
        <w:rPr>
          <w:rFonts w:ascii="Garamond" w:hAnsi="Garamond"/>
          <w:sz w:val="24"/>
          <w:szCs w:val="24"/>
        </w:rPr>
        <w:t xml:space="preserve"> </w:t>
      </w:r>
      <w:proofErr w:type="spellStart"/>
      <w:r w:rsidRPr="00060A7D">
        <w:rPr>
          <w:rFonts w:ascii="Garamond" w:hAnsi="Garamond"/>
          <w:sz w:val="24"/>
          <w:szCs w:val="24"/>
        </w:rPr>
        <w:t>normatif</w:t>
      </w:r>
      <w:proofErr w:type="spellEnd"/>
      <w:r w:rsidRPr="00060A7D">
        <w:rPr>
          <w:rFonts w:ascii="Garamond" w:hAnsi="Garamond"/>
          <w:sz w:val="24"/>
          <w:szCs w:val="24"/>
        </w:rPr>
        <w:t xml:space="preserve"> </w:t>
      </w:r>
      <w:proofErr w:type="spellStart"/>
      <w:r w:rsidRPr="00060A7D">
        <w:rPr>
          <w:rFonts w:ascii="Garamond" w:hAnsi="Garamond"/>
          <w:sz w:val="24"/>
          <w:szCs w:val="24"/>
        </w:rPr>
        <w:t>tetapi</w:t>
      </w:r>
      <w:proofErr w:type="spellEnd"/>
      <w:r w:rsidRPr="00060A7D">
        <w:rPr>
          <w:rFonts w:ascii="Garamond" w:hAnsi="Garamond"/>
          <w:sz w:val="24"/>
          <w:szCs w:val="24"/>
        </w:rPr>
        <w:t xml:space="preserve"> juga </w:t>
      </w:r>
      <w:proofErr w:type="spellStart"/>
      <w:r w:rsidRPr="00060A7D">
        <w:rPr>
          <w:rFonts w:ascii="Garamond" w:hAnsi="Garamond"/>
          <w:sz w:val="24"/>
          <w:szCs w:val="24"/>
        </w:rPr>
        <w:t>kontekstual</w:t>
      </w:r>
      <w:proofErr w:type="spellEnd"/>
      <w:r w:rsidRPr="00060A7D">
        <w:rPr>
          <w:rFonts w:ascii="Garamond" w:hAnsi="Garamond"/>
          <w:sz w:val="24"/>
          <w:szCs w:val="24"/>
        </w:rPr>
        <w:t xml:space="preserve"> dan </w:t>
      </w:r>
      <w:proofErr w:type="spellStart"/>
      <w:r w:rsidRPr="00060A7D">
        <w:rPr>
          <w:rFonts w:ascii="Garamond" w:hAnsi="Garamond"/>
          <w:sz w:val="24"/>
          <w:szCs w:val="24"/>
        </w:rPr>
        <w:t>aplikatif</w:t>
      </w:r>
      <w:proofErr w:type="spellEnd"/>
      <w:r w:rsidRPr="00060A7D">
        <w:rPr>
          <w:rFonts w:ascii="Garamond" w:hAnsi="Garamond"/>
          <w:sz w:val="24"/>
          <w:szCs w:val="24"/>
        </w:rPr>
        <w:t>.</w:t>
      </w:r>
    </w:p>
    <w:p w14:paraId="5D684B04" w14:textId="577C05AD" w:rsidR="00E0795C" w:rsidRPr="00060A7D" w:rsidRDefault="00E0795C" w:rsidP="00060A7D">
      <w:pPr>
        <w:pStyle w:val="NoSpacing"/>
        <w:spacing w:line="360" w:lineRule="auto"/>
        <w:ind w:firstLine="851"/>
        <w:jc w:val="both"/>
        <w:rPr>
          <w:rFonts w:ascii="Garamond" w:hAnsi="Garamond"/>
          <w:sz w:val="24"/>
          <w:szCs w:val="24"/>
        </w:rPr>
      </w:pPr>
      <w:proofErr w:type="spellStart"/>
      <w:r w:rsidRPr="00060A7D">
        <w:rPr>
          <w:rFonts w:ascii="Garamond" w:hAnsi="Garamond"/>
          <w:sz w:val="24"/>
          <w:szCs w:val="24"/>
        </w:rPr>
        <w:t>Lebih</w:t>
      </w:r>
      <w:proofErr w:type="spellEnd"/>
      <w:r w:rsidRPr="00060A7D">
        <w:rPr>
          <w:rFonts w:ascii="Garamond" w:hAnsi="Garamond"/>
          <w:sz w:val="24"/>
          <w:szCs w:val="24"/>
        </w:rPr>
        <w:t xml:space="preserve"> </w:t>
      </w:r>
      <w:proofErr w:type="spellStart"/>
      <w:r w:rsidRPr="00060A7D">
        <w:rPr>
          <w:rFonts w:ascii="Garamond" w:hAnsi="Garamond"/>
          <w:sz w:val="24"/>
          <w:szCs w:val="24"/>
        </w:rPr>
        <w:t>lanjut</w:t>
      </w:r>
      <w:proofErr w:type="spellEnd"/>
      <w:r w:rsidRPr="00060A7D">
        <w:rPr>
          <w:rFonts w:ascii="Garamond" w:hAnsi="Garamond"/>
          <w:sz w:val="24"/>
          <w:szCs w:val="24"/>
        </w:rPr>
        <w:t xml:space="preserve">, </w:t>
      </w:r>
      <w:proofErr w:type="spellStart"/>
      <w:r w:rsidRPr="00060A7D">
        <w:rPr>
          <w:rFonts w:ascii="Garamond" w:hAnsi="Garamond"/>
          <w:sz w:val="24"/>
          <w:szCs w:val="24"/>
        </w:rPr>
        <w:t>kajian</w:t>
      </w:r>
      <w:proofErr w:type="spellEnd"/>
      <w:r w:rsidRPr="00060A7D">
        <w:rPr>
          <w:rFonts w:ascii="Garamond" w:hAnsi="Garamond"/>
          <w:sz w:val="24"/>
          <w:szCs w:val="24"/>
        </w:rPr>
        <w:t xml:space="preserve"> </w:t>
      </w:r>
      <w:proofErr w:type="spellStart"/>
      <w:r w:rsidRPr="00060A7D">
        <w:rPr>
          <w:rFonts w:ascii="Garamond" w:hAnsi="Garamond"/>
          <w:sz w:val="24"/>
          <w:szCs w:val="24"/>
        </w:rPr>
        <w:t>ini</w:t>
      </w:r>
      <w:proofErr w:type="spellEnd"/>
      <w:r w:rsidRPr="00060A7D">
        <w:rPr>
          <w:rFonts w:ascii="Garamond" w:hAnsi="Garamond"/>
          <w:sz w:val="24"/>
          <w:szCs w:val="24"/>
        </w:rPr>
        <w:t xml:space="preserve"> </w:t>
      </w:r>
      <w:proofErr w:type="spellStart"/>
      <w:r w:rsidRPr="00060A7D">
        <w:rPr>
          <w:rFonts w:ascii="Garamond" w:hAnsi="Garamond"/>
          <w:sz w:val="24"/>
          <w:szCs w:val="24"/>
        </w:rPr>
        <w:t>menjadi</w:t>
      </w:r>
      <w:proofErr w:type="spellEnd"/>
      <w:r w:rsidRPr="00060A7D">
        <w:rPr>
          <w:rFonts w:ascii="Garamond" w:hAnsi="Garamond"/>
          <w:sz w:val="24"/>
          <w:szCs w:val="24"/>
        </w:rPr>
        <w:t xml:space="preserve"> </w:t>
      </w:r>
      <w:proofErr w:type="spellStart"/>
      <w:r w:rsidRPr="00060A7D">
        <w:rPr>
          <w:rFonts w:ascii="Garamond" w:hAnsi="Garamond"/>
          <w:sz w:val="24"/>
          <w:szCs w:val="24"/>
        </w:rPr>
        <w:t>penting</w:t>
      </w:r>
      <w:proofErr w:type="spellEnd"/>
      <w:r w:rsidRPr="00060A7D">
        <w:rPr>
          <w:rFonts w:ascii="Garamond" w:hAnsi="Garamond"/>
          <w:sz w:val="24"/>
          <w:szCs w:val="24"/>
        </w:rPr>
        <w:t xml:space="preserve"> </w:t>
      </w:r>
      <w:proofErr w:type="spellStart"/>
      <w:r w:rsidRPr="00060A7D">
        <w:rPr>
          <w:rFonts w:ascii="Garamond" w:hAnsi="Garamond"/>
          <w:sz w:val="24"/>
          <w:szCs w:val="24"/>
        </w:rPr>
        <w:t>dalam</w:t>
      </w:r>
      <w:proofErr w:type="spellEnd"/>
      <w:r w:rsidRPr="00060A7D">
        <w:rPr>
          <w:rFonts w:ascii="Garamond" w:hAnsi="Garamond"/>
          <w:sz w:val="24"/>
          <w:szCs w:val="24"/>
        </w:rPr>
        <w:t xml:space="preserve"> </w:t>
      </w:r>
      <w:proofErr w:type="spellStart"/>
      <w:r w:rsidRPr="00060A7D">
        <w:rPr>
          <w:rFonts w:ascii="Garamond" w:hAnsi="Garamond"/>
          <w:sz w:val="24"/>
          <w:szCs w:val="24"/>
        </w:rPr>
        <w:t>memperkuat</w:t>
      </w:r>
      <w:proofErr w:type="spellEnd"/>
      <w:r w:rsidRPr="00060A7D">
        <w:rPr>
          <w:rFonts w:ascii="Garamond" w:hAnsi="Garamond"/>
          <w:sz w:val="24"/>
          <w:szCs w:val="24"/>
        </w:rPr>
        <w:t xml:space="preserve"> </w:t>
      </w:r>
      <w:proofErr w:type="spellStart"/>
      <w:r w:rsidRPr="00060A7D">
        <w:rPr>
          <w:rFonts w:ascii="Garamond" w:hAnsi="Garamond"/>
          <w:sz w:val="24"/>
          <w:szCs w:val="24"/>
        </w:rPr>
        <w:t>kesadaran</w:t>
      </w:r>
      <w:proofErr w:type="spellEnd"/>
      <w:r w:rsidRPr="00060A7D">
        <w:rPr>
          <w:rFonts w:ascii="Garamond" w:hAnsi="Garamond"/>
          <w:sz w:val="24"/>
          <w:szCs w:val="24"/>
        </w:rPr>
        <w:t xml:space="preserve"> </w:t>
      </w:r>
      <w:proofErr w:type="spellStart"/>
      <w:r w:rsidRPr="00060A7D">
        <w:rPr>
          <w:rFonts w:ascii="Garamond" w:hAnsi="Garamond"/>
          <w:sz w:val="24"/>
          <w:szCs w:val="24"/>
        </w:rPr>
        <w:t>bahwa</w:t>
      </w:r>
      <w:proofErr w:type="spellEnd"/>
      <w:r w:rsidRPr="00060A7D">
        <w:rPr>
          <w:rFonts w:ascii="Garamond" w:hAnsi="Garamond"/>
          <w:sz w:val="24"/>
          <w:szCs w:val="24"/>
        </w:rPr>
        <w:t xml:space="preserve"> </w:t>
      </w:r>
      <w:proofErr w:type="spellStart"/>
      <w:r w:rsidRPr="00060A7D">
        <w:rPr>
          <w:rFonts w:ascii="Garamond" w:hAnsi="Garamond"/>
          <w:sz w:val="24"/>
          <w:szCs w:val="24"/>
        </w:rPr>
        <w:t>hukum</w:t>
      </w:r>
      <w:proofErr w:type="spellEnd"/>
      <w:r w:rsidRPr="00060A7D">
        <w:rPr>
          <w:rFonts w:ascii="Garamond" w:hAnsi="Garamond"/>
          <w:sz w:val="24"/>
          <w:szCs w:val="24"/>
        </w:rPr>
        <w:t xml:space="preserve"> Islam </w:t>
      </w:r>
      <w:proofErr w:type="spellStart"/>
      <w:r w:rsidRPr="00060A7D">
        <w:rPr>
          <w:rFonts w:ascii="Garamond" w:hAnsi="Garamond"/>
          <w:sz w:val="24"/>
          <w:szCs w:val="24"/>
        </w:rPr>
        <w:t>tidak</w:t>
      </w:r>
      <w:proofErr w:type="spellEnd"/>
      <w:r w:rsidRPr="00060A7D">
        <w:rPr>
          <w:rFonts w:ascii="Garamond" w:hAnsi="Garamond"/>
          <w:sz w:val="24"/>
          <w:szCs w:val="24"/>
        </w:rPr>
        <w:t xml:space="preserve"> </w:t>
      </w:r>
      <w:proofErr w:type="spellStart"/>
      <w:r w:rsidRPr="00060A7D">
        <w:rPr>
          <w:rFonts w:ascii="Garamond" w:hAnsi="Garamond"/>
          <w:sz w:val="24"/>
          <w:szCs w:val="24"/>
        </w:rPr>
        <w:t>boleh</w:t>
      </w:r>
      <w:proofErr w:type="spellEnd"/>
      <w:r w:rsidRPr="00060A7D">
        <w:rPr>
          <w:rFonts w:ascii="Garamond" w:hAnsi="Garamond"/>
          <w:sz w:val="24"/>
          <w:szCs w:val="24"/>
        </w:rPr>
        <w:t xml:space="preserve"> </w:t>
      </w:r>
      <w:proofErr w:type="spellStart"/>
      <w:r w:rsidRPr="00060A7D">
        <w:rPr>
          <w:rFonts w:ascii="Garamond" w:hAnsi="Garamond"/>
          <w:sz w:val="24"/>
          <w:szCs w:val="24"/>
        </w:rPr>
        <w:t>dipahami</w:t>
      </w:r>
      <w:proofErr w:type="spellEnd"/>
      <w:r w:rsidRPr="00060A7D">
        <w:rPr>
          <w:rFonts w:ascii="Garamond" w:hAnsi="Garamond"/>
          <w:sz w:val="24"/>
          <w:szCs w:val="24"/>
        </w:rPr>
        <w:t xml:space="preserve"> </w:t>
      </w:r>
      <w:proofErr w:type="spellStart"/>
      <w:r w:rsidRPr="00060A7D">
        <w:rPr>
          <w:rFonts w:ascii="Garamond" w:hAnsi="Garamond"/>
          <w:sz w:val="24"/>
          <w:szCs w:val="24"/>
        </w:rPr>
        <w:t>hanya</w:t>
      </w:r>
      <w:proofErr w:type="spellEnd"/>
      <w:r w:rsidRPr="00060A7D">
        <w:rPr>
          <w:rFonts w:ascii="Garamond" w:hAnsi="Garamond"/>
          <w:sz w:val="24"/>
          <w:szCs w:val="24"/>
        </w:rPr>
        <w:t xml:space="preserve"> </w:t>
      </w:r>
      <w:proofErr w:type="spellStart"/>
      <w:r w:rsidRPr="00060A7D">
        <w:rPr>
          <w:rFonts w:ascii="Garamond" w:hAnsi="Garamond"/>
          <w:sz w:val="24"/>
          <w:szCs w:val="24"/>
        </w:rPr>
        <w:t>sebagai</w:t>
      </w:r>
      <w:proofErr w:type="spellEnd"/>
      <w:r w:rsidRPr="00060A7D">
        <w:rPr>
          <w:rFonts w:ascii="Garamond" w:hAnsi="Garamond"/>
          <w:sz w:val="24"/>
          <w:szCs w:val="24"/>
        </w:rPr>
        <w:t xml:space="preserve"> </w:t>
      </w:r>
      <w:proofErr w:type="spellStart"/>
      <w:r w:rsidRPr="00060A7D">
        <w:rPr>
          <w:rFonts w:ascii="Garamond" w:hAnsi="Garamond"/>
          <w:sz w:val="24"/>
          <w:szCs w:val="24"/>
        </w:rPr>
        <w:t>seperangkat</w:t>
      </w:r>
      <w:proofErr w:type="spellEnd"/>
      <w:r w:rsidRPr="00060A7D">
        <w:rPr>
          <w:rFonts w:ascii="Garamond" w:hAnsi="Garamond"/>
          <w:sz w:val="24"/>
          <w:szCs w:val="24"/>
        </w:rPr>
        <w:t xml:space="preserve"> </w:t>
      </w:r>
      <w:proofErr w:type="spellStart"/>
      <w:r w:rsidRPr="00060A7D">
        <w:rPr>
          <w:rFonts w:ascii="Garamond" w:hAnsi="Garamond"/>
          <w:sz w:val="24"/>
          <w:szCs w:val="24"/>
        </w:rPr>
        <w:t>aturan</w:t>
      </w:r>
      <w:proofErr w:type="spellEnd"/>
      <w:r w:rsidRPr="00060A7D">
        <w:rPr>
          <w:rFonts w:ascii="Garamond" w:hAnsi="Garamond"/>
          <w:sz w:val="24"/>
          <w:szCs w:val="24"/>
        </w:rPr>
        <w:t xml:space="preserve"> </w:t>
      </w:r>
      <w:proofErr w:type="spellStart"/>
      <w:r w:rsidRPr="00060A7D">
        <w:rPr>
          <w:rFonts w:ascii="Garamond" w:hAnsi="Garamond"/>
          <w:sz w:val="24"/>
          <w:szCs w:val="24"/>
        </w:rPr>
        <w:t>kaku</w:t>
      </w:r>
      <w:proofErr w:type="spellEnd"/>
      <w:r w:rsidRPr="00060A7D">
        <w:rPr>
          <w:rFonts w:ascii="Garamond" w:hAnsi="Garamond"/>
          <w:sz w:val="24"/>
          <w:szCs w:val="24"/>
        </w:rPr>
        <w:t xml:space="preserve">, </w:t>
      </w:r>
      <w:proofErr w:type="spellStart"/>
      <w:r w:rsidRPr="00060A7D">
        <w:rPr>
          <w:rFonts w:ascii="Garamond" w:hAnsi="Garamond"/>
          <w:sz w:val="24"/>
          <w:szCs w:val="24"/>
        </w:rPr>
        <w:t>tetapi</w:t>
      </w:r>
      <w:proofErr w:type="spellEnd"/>
      <w:r w:rsidRPr="00060A7D">
        <w:rPr>
          <w:rFonts w:ascii="Garamond" w:hAnsi="Garamond"/>
          <w:sz w:val="24"/>
          <w:szCs w:val="24"/>
        </w:rPr>
        <w:t xml:space="preserve"> </w:t>
      </w:r>
      <w:proofErr w:type="spellStart"/>
      <w:r w:rsidRPr="00060A7D">
        <w:rPr>
          <w:rFonts w:ascii="Garamond" w:hAnsi="Garamond"/>
          <w:sz w:val="24"/>
          <w:szCs w:val="24"/>
        </w:rPr>
        <w:t>sebagai</w:t>
      </w:r>
      <w:proofErr w:type="spellEnd"/>
      <w:r w:rsidRPr="00060A7D">
        <w:rPr>
          <w:rFonts w:ascii="Garamond" w:hAnsi="Garamond"/>
          <w:sz w:val="24"/>
          <w:szCs w:val="24"/>
        </w:rPr>
        <w:t xml:space="preserve"> </w:t>
      </w:r>
      <w:proofErr w:type="spellStart"/>
      <w:r w:rsidRPr="00060A7D">
        <w:rPr>
          <w:rFonts w:ascii="Garamond" w:hAnsi="Garamond"/>
          <w:sz w:val="24"/>
          <w:szCs w:val="24"/>
        </w:rPr>
        <w:t>refleksi</w:t>
      </w:r>
      <w:proofErr w:type="spellEnd"/>
      <w:r w:rsidRPr="00060A7D">
        <w:rPr>
          <w:rFonts w:ascii="Garamond" w:hAnsi="Garamond"/>
          <w:sz w:val="24"/>
          <w:szCs w:val="24"/>
        </w:rPr>
        <w:t xml:space="preserve"> </w:t>
      </w:r>
      <w:proofErr w:type="spellStart"/>
      <w:r w:rsidRPr="00060A7D">
        <w:rPr>
          <w:rFonts w:ascii="Garamond" w:hAnsi="Garamond"/>
          <w:sz w:val="24"/>
          <w:szCs w:val="24"/>
        </w:rPr>
        <w:t>dari</w:t>
      </w:r>
      <w:proofErr w:type="spellEnd"/>
      <w:r w:rsidRPr="00060A7D">
        <w:rPr>
          <w:rFonts w:ascii="Garamond" w:hAnsi="Garamond"/>
          <w:sz w:val="24"/>
          <w:szCs w:val="24"/>
        </w:rPr>
        <w:t xml:space="preserve"> </w:t>
      </w:r>
      <w:proofErr w:type="spellStart"/>
      <w:r w:rsidRPr="00060A7D">
        <w:rPr>
          <w:rFonts w:ascii="Garamond" w:hAnsi="Garamond"/>
          <w:sz w:val="24"/>
          <w:szCs w:val="24"/>
        </w:rPr>
        <w:t>nilai-nilai</w:t>
      </w:r>
      <w:proofErr w:type="spellEnd"/>
      <w:r w:rsidRPr="00060A7D">
        <w:rPr>
          <w:rFonts w:ascii="Garamond" w:hAnsi="Garamond"/>
          <w:sz w:val="24"/>
          <w:szCs w:val="24"/>
        </w:rPr>
        <w:t xml:space="preserve"> </w:t>
      </w:r>
      <w:proofErr w:type="spellStart"/>
      <w:r w:rsidRPr="00060A7D">
        <w:rPr>
          <w:rFonts w:ascii="Garamond" w:hAnsi="Garamond"/>
          <w:sz w:val="24"/>
          <w:szCs w:val="24"/>
        </w:rPr>
        <w:t>etis</w:t>
      </w:r>
      <w:proofErr w:type="spellEnd"/>
      <w:r w:rsidRPr="00060A7D">
        <w:rPr>
          <w:rFonts w:ascii="Garamond" w:hAnsi="Garamond"/>
          <w:sz w:val="24"/>
          <w:szCs w:val="24"/>
        </w:rPr>
        <w:t xml:space="preserve"> yang </w:t>
      </w:r>
      <w:proofErr w:type="spellStart"/>
      <w:r w:rsidRPr="00060A7D">
        <w:rPr>
          <w:rFonts w:ascii="Garamond" w:hAnsi="Garamond"/>
          <w:sz w:val="24"/>
          <w:szCs w:val="24"/>
        </w:rPr>
        <w:t>berakar</w:t>
      </w:r>
      <w:proofErr w:type="spellEnd"/>
      <w:r w:rsidRPr="00060A7D">
        <w:rPr>
          <w:rFonts w:ascii="Garamond" w:hAnsi="Garamond"/>
          <w:sz w:val="24"/>
          <w:szCs w:val="24"/>
        </w:rPr>
        <w:t xml:space="preserve"> pada </w:t>
      </w:r>
      <w:proofErr w:type="spellStart"/>
      <w:r w:rsidRPr="00060A7D">
        <w:rPr>
          <w:rFonts w:ascii="Garamond" w:hAnsi="Garamond"/>
          <w:sz w:val="24"/>
          <w:szCs w:val="24"/>
        </w:rPr>
        <w:t>misi</w:t>
      </w:r>
      <w:proofErr w:type="spellEnd"/>
      <w:r w:rsidRPr="00060A7D">
        <w:rPr>
          <w:rFonts w:ascii="Garamond" w:hAnsi="Garamond"/>
          <w:sz w:val="24"/>
          <w:szCs w:val="24"/>
        </w:rPr>
        <w:t xml:space="preserve"> Al-Qur’an </w:t>
      </w:r>
      <w:proofErr w:type="spellStart"/>
      <w:r w:rsidRPr="00060A7D">
        <w:rPr>
          <w:rFonts w:ascii="Garamond" w:hAnsi="Garamond"/>
          <w:sz w:val="24"/>
          <w:szCs w:val="24"/>
        </w:rPr>
        <w:t>sebagai</w:t>
      </w:r>
      <w:proofErr w:type="spellEnd"/>
      <w:r w:rsidRPr="00060A7D">
        <w:rPr>
          <w:rFonts w:ascii="Garamond" w:hAnsi="Garamond"/>
          <w:sz w:val="24"/>
          <w:szCs w:val="24"/>
        </w:rPr>
        <w:t xml:space="preserve"> </w:t>
      </w:r>
      <w:proofErr w:type="spellStart"/>
      <w:r w:rsidRPr="00060A7D">
        <w:rPr>
          <w:rFonts w:ascii="Garamond" w:hAnsi="Garamond"/>
          <w:sz w:val="24"/>
          <w:szCs w:val="24"/>
        </w:rPr>
        <w:t>petunjuk</w:t>
      </w:r>
      <w:proofErr w:type="spellEnd"/>
      <w:r w:rsidRPr="00060A7D">
        <w:rPr>
          <w:rFonts w:ascii="Garamond" w:hAnsi="Garamond"/>
          <w:sz w:val="24"/>
          <w:szCs w:val="24"/>
        </w:rPr>
        <w:t xml:space="preserve"> </w:t>
      </w:r>
      <w:proofErr w:type="spellStart"/>
      <w:r w:rsidRPr="00060A7D">
        <w:rPr>
          <w:rFonts w:ascii="Garamond" w:hAnsi="Garamond"/>
          <w:sz w:val="24"/>
          <w:szCs w:val="24"/>
        </w:rPr>
        <w:t>hidup</w:t>
      </w:r>
      <w:proofErr w:type="spellEnd"/>
      <w:r w:rsidRPr="00060A7D">
        <w:rPr>
          <w:rFonts w:ascii="Garamond" w:hAnsi="Garamond"/>
          <w:sz w:val="24"/>
          <w:szCs w:val="24"/>
        </w:rPr>
        <w:t xml:space="preserve"> </w:t>
      </w:r>
      <w:proofErr w:type="spellStart"/>
      <w:r w:rsidRPr="00060A7D">
        <w:rPr>
          <w:rFonts w:ascii="Garamond" w:hAnsi="Garamond"/>
          <w:sz w:val="24"/>
          <w:szCs w:val="24"/>
        </w:rPr>
        <w:t>manusia</w:t>
      </w:r>
      <w:proofErr w:type="spellEnd"/>
      <w:r w:rsidRPr="00060A7D">
        <w:rPr>
          <w:rFonts w:ascii="Garamond" w:hAnsi="Garamond"/>
          <w:sz w:val="24"/>
          <w:szCs w:val="24"/>
        </w:rPr>
        <w:t xml:space="preserve">. </w:t>
      </w:r>
      <w:proofErr w:type="spellStart"/>
      <w:r w:rsidRPr="00060A7D">
        <w:rPr>
          <w:rFonts w:ascii="Garamond" w:hAnsi="Garamond"/>
          <w:sz w:val="24"/>
          <w:szCs w:val="24"/>
        </w:rPr>
        <w:t>Dengan</w:t>
      </w:r>
      <w:proofErr w:type="spellEnd"/>
      <w:r w:rsidRPr="00060A7D">
        <w:rPr>
          <w:rFonts w:ascii="Garamond" w:hAnsi="Garamond"/>
          <w:sz w:val="24"/>
          <w:szCs w:val="24"/>
        </w:rPr>
        <w:t xml:space="preserve"> </w:t>
      </w:r>
      <w:proofErr w:type="spellStart"/>
      <w:r w:rsidRPr="00060A7D">
        <w:rPr>
          <w:rFonts w:ascii="Garamond" w:hAnsi="Garamond"/>
          <w:sz w:val="24"/>
          <w:szCs w:val="24"/>
        </w:rPr>
        <w:t>demikian</w:t>
      </w:r>
      <w:proofErr w:type="spellEnd"/>
      <w:r w:rsidRPr="00060A7D">
        <w:rPr>
          <w:rFonts w:ascii="Garamond" w:hAnsi="Garamond"/>
          <w:sz w:val="24"/>
          <w:szCs w:val="24"/>
        </w:rPr>
        <w:t xml:space="preserve">, </w:t>
      </w:r>
      <w:proofErr w:type="spellStart"/>
      <w:r w:rsidRPr="00060A7D">
        <w:rPr>
          <w:rFonts w:ascii="Garamond" w:hAnsi="Garamond"/>
          <w:sz w:val="24"/>
          <w:szCs w:val="24"/>
        </w:rPr>
        <w:t>penelitian</w:t>
      </w:r>
      <w:proofErr w:type="spellEnd"/>
      <w:r w:rsidRPr="00060A7D">
        <w:rPr>
          <w:rFonts w:ascii="Garamond" w:hAnsi="Garamond"/>
          <w:sz w:val="24"/>
          <w:szCs w:val="24"/>
        </w:rPr>
        <w:t xml:space="preserve"> </w:t>
      </w:r>
      <w:proofErr w:type="spellStart"/>
      <w:r w:rsidRPr="00060A7D">
        <w:rPr>
          <w:rFonts w:ascii="Garamond" w:hAnsi="Garamond"/>
          <w:sz w:val="24"/>
          <w:szCs w:val="24"/>
        </w:rPr>
        <w:t>ini</w:t>
      </w:r>
      <w:proofErr w:type="spellEnd"/>
      <w:r w:rsidRPr="00060A7D">
        <w:rPr>
          <w:rFonts w:ascii="Garamond" w:hAnsi="Garamond"/>
          <w:sz w:val="24"/>
          <w:szCs w:val="24"/>
        </w:rPr>
        <w:t xml:space="preserve"> </w:t>
      </w:r>
      <w:proofErr w:type="spellStart"/>
      <w:r w:rsidRPr="00060A7D">
        <w:rPr>
          <w:rFonts w:ascii="Garamond" w:hAnsi="Garamond"/>
          <w:sz w:val="24"/>
          <w:szCs w:val="24"/>
        </w:rPr>
        <w:t>bertujuan</w:t>
      </w:r>
      <w:proofErr w:type="spellEnd"/>
      <w:r w:rsidRPr="00060A7D">
        <w:rPr>
          <w:rFonts w:ascii="Garamond" w:hAnsi="Garamond"/>
          <w:sz w:val="24"/>
          <w:szCs w:val="24"/>
        </w:rPr>
        <w:t xml:space="preserve"> </w:t>
      </w:r>
      <w:proofErr w:type="spellStart"/>
      <w:r w:rsidRPr="00060A7D">
        <w:rPr>
          <w:rFonts w:ascii="Garamond" w:hAnsi="Garamond"/>
          <w:sz w:val="24"/>
          <w:szCs w:val="24"/>
        </w:rPr>
        <w:t>untuk</w:t>
      </w:r>
      <w:proofErr w:type="spellEnd"/>
      <w:r w:rsidRPr="00060A7D">
        <w:rPr>
          <w:rFonts w:ascii="Garamond" w:hAnsi="Garamond"/>
          <w:sz w:val="24"/>
          <w:szCs w:val="24"/>
        </w:rPr>
        <w:t xml:space="preserve"> </w:t>
      </w:r>
      <w:proofErr w:type="spellStart"/>
      <w:r w:rsidRPr="00060A7D">
        <w:rPr>
          <w:rFonts w:ascii="Garamond" w:hAnsi="Garamond"/>
          <w:sz w:val="24"/>
          <w:szCs w:val="24"/>
        </w:rPr>
        <w:t>menggali</w:t>
      </w:r>
      <w:proofErr w:type="spellEnd"/>
      <w:r w:rsidRPr="00060A7D">
        <w:rPr>
          <w:rFonts w:ascii="Garamond" w:hAnsi="Garamond"/>
          <w:sz w:val="24"/>
          <w:szCs w:val="24"/>
        </w:rPr>
        <w:t xml:space="preserve"> </w:t>
      </w:r>
      <w:proofErr w:type="spellStart"/>
      <w:r w:rsidRPr="00060A7D">
        <w:rPr>
          <w:rFonts w:ascii="Garamond" w:hAnsi="Garamond"/>
          <w:sz w:val="24"/>
          <w:szCs w:val="24"/>
        </w:rPr>
        <w:t>secara</w:t>
      </w:r>
      <w:proofErr w:type="spellEnd"/>
      <w:r w:rsidRPr="00060A7D">
        <w:rPr>
          <w:rFonts w:ascii="Garamond" w:hAnsi="Garamond"/>
          <w:sz w:val="24"/>
          <w:szCs w:val="24"/>
        </w:rPr>
        <w:t xml:space="preserve"> </w:t>
      </w:r>
      <w:proofErr w:type="spellStart"/>
      <w:r w:rsidRPr="00060A7D">
        <w:rPr>
          <w:rFonts w:ascii="Garamond" w:hAnsi="Garamond"/>
          <w:sz w:val="24"/>
          <w:szCs w:val="24"/>
        </w:rPr>
        <w:t>mendalam</w:t>
      </w:r>
      <w:proofErr w:type="spellEnd"/>
      <w:r w:rsidRPr="00060A7D">
        <w:rPr>
          <w:rFonts w:ascii="Garamond" w:hAnsi="Garamond"/>
          <w:sz w:val="24"/>
          <w:szCs w:val="24"/>
        </w:rPr>
        <w:t xml:space="preserve"> </w:t>
      </w:r>
      <w:proofErr w:type="spellStart"/>
      <w:r w:rsidRPr="00060A7D">
        <w:rPr>
          <w:rFonts w:ascii="Garamond" w:hAnsi="Garamond"/>
          <w:sz w:val="24"/>
          <w:szCs w:val="24"/>
        </w:rPr>
        <w:t>kerangka</w:t>
      </w:r>
      <w:proofErr w:type="spellEnd"/>
      <w:r w:rsidRPr="00060A7D">
        <w:rPr>
          <w:rFonts w:ascii="Garamond" w:hAnsi="Garamond"/>
          <w:sz w:val="24"/>
          <w:szCs w:val="24"/>
        </w:rPr>
        <w:t xml:space="preserve"> </w:t>
      </w:r>
      <w:proofErr w:type="spellStart"/>
      <w:r w:rsidRPr="00060A7D">
        <w:rPr>
          <w:rFonts w:ascii="Garamond" w:hAnsi="Garamond"/>
          <w:sz w:val="24"/>
          <w:szCs w:val="24"/>
        </w:rPr>
        <w:t>pemikiran</w:t>
      </w:r>
      <w:proofErr w:type="spellEnd"/>
      <w:r w:rsidRPr="00060A7D">
        <w:rPr>
          <w:rFonts w:ascii="Garamond" w:hAnsi="Garamond"/>
          <w:sz w:val="24"/>
          <w:szCs w:val="24"/>
        </w:rPr>
        <w:t xml:space="preserve"> Fazlur Rahman </w:t>
      </w:r>
      <w:proofErr w:type="spellStart"/>
      <w:r w:rsidRPr="00060A7D">
        <w:rPr>
          <w:rFonts w:ascii="Garamond" w:hAnsi="Garamond"/>
          <w:sz w:val="24"/>
          <w:szCs w:val="24"/>
        </w:rPr>
        <w:t>tentang</w:t>
      </w:r>
      <w:proofErr w:type="spellEnd"/>
      <w:r w:rsidRPr="00060A7D">
        <w:rPr>
          <w:rFonts w:ascii="Garamond" w:hAnsi="Garamond"/>
          <w:sz w:val="24"/>
          <w:szCs w:val="24"/>
        </w:rPr>
        <w:t xml:space="preserve"> </w:t>
      </w:r>
      <w:proofErr w:type="spellStart"/>
      <w:r w:rsidRPr="00060A7D">
        <w:rPr>
          <w:rFonts w:ascii="Garamond" w:hAnsi="Garamond"/>
          <w:sz w:val="24"/>
          <w:szCs w:val="24"/>
        </w:rPr>
        <w:t>penafsiran</w:t>
      </w:r>
      <w:proofErr w:type="spellEnd"/>
      <w:r w:rsidRPr="00060A7D">
        <w:rPr>
          <w:rFonts w:ascii="Garamond" w:hAnsi="Garamond"/>
          <w:sz w:val="24"/>
          <w:szCs w:val="24"/>
        </w:rPr>
        <w:t xml:space="preserve"> </w:t>
      </w:r>
      <w:proofErr w:type="spellStart"/>
      <w:r w:rsidRPr="00060A7D">
        <w:rPr>
          <w:rFonts w:ascii="Garamond" w:hAnsi="Garamond"/>
          <w:sz w:val="24"/>
          <w:szCs w:val="24"/>
        </w:rPr>
        <w:t>etika-hukum</w:t>
      </w:r>
      <w:proofErr w:type="spellEnd"/>
      <w:r w:rsidRPr="00060A7D">
        <w:rPr>
          <w:rFonts w:ascii="Garamond" w:hAnsi="Garamond"/>
          <w:sz w:val="24"/>
          <w:szCs w:val="24"/>
        </w:rPr>
        <w:t xml:space="preserve"> </w:t>
      </w:r>
      <w:proofErr w:type="spellStart"/>
      <w:r w:rsidRPr="00060A7D">
        <w:rPr>
          <w:rFonts w:ascii="Garamond" w:hAnsi="Garamond"/>
          <w:sz w:val="24"/>
          <w:szCs w:val="24"/>
        </w:rPr>
        <w:t>dalam</w:t>
      </w:r>
      <w:proofErr w:type="spellEnd"/>
      <w:r w:rsidRPr="00060A7D">
        <w:rPr>
          <w:rFonts w:ascii="Garamond" w:hAnsi="Garamond"/>
          <w:sz w:val="24"/>
          <w:szCs w:val="24"/>
        </w:rPr>
        <w:t xml:space="preserve"> Al-Qur’an, </w:t>
      </w:r>
      <w:proofErr w:type="spellStart"/>
      <w:r w:rsidRPr="00060A7D">
        <w:rPr>
          <w:rFonts w:ascii="Garamond" w:hAnsi="Garamond"/>
          <w:sz w:val="24"/>
          <w:szCs w:val="24"/>
        </w:rPr>
        <w:t>serta</w:t>
      </w:r>
      <w:proofErr w:type="spellEnd"/>
      <w:r w:rsidRPr="00060A7D">
        <w:rPr>
          <w:rFonts w:ascii="Garamond" w:hAnsi="Garamond"/>
          <w:sz w:val="24"/>
          <w:szCs w:val="24"/>
        </w:rPr>
        <w:t xml:space="preserve"> </w:t>
      </w:r>
      <w:proofErr w:type="spellStart"/>
      <w:r w:rsidRPr="00060A7D">
        <w:rPr>
          <w:rFonts w:ascii="Garamond" w:hAnsi="Garamond"/>
          <w:sz w:val="24"/>
          <w:szCs w:val="24"/>
        </w:rPr>
        <w:t>menilai</w:t>
      </w:r>
      <w:proofErr w:type="spellEnd"/>
      <w:r w:rsidRPr="00060A7D">
        <w:rPr>
          <w:rFonts w:ascii="Garamond" w:hAnsi="Garamond"/>
          <w:sz w:val="24"/>
          <w:szCs w:val="24"/>
        </w:rPr>
        <w:t xml:space="preserve"> </w:t>
      </w:r>
      <w:proofErr w:type="spellStart"/>
      <w:r w:rsidRPr="00060A7D">
        <w:rPr>
          <w:rFonts w:ascii="Garamond" w:hAnsi="Garamond"/>
          <w:sz w:val="24"/>
          <w:szCs w:val="24"/>
        </w:rPr>
        <w:t>sejauh</w:t>
      </w:r>
      <w:proofErr w:type="spellEnd"/>
      <w:r w:rsidRPr="00060A7D">
        <w:rPr>
          <w:rFonts w:ascii="Garamond" w:hAnsi="Garamond"/>
          <w:sz w:val="24"/>
          <w:szCs w:val="24"/>
        </w:rPr>
        <w:t xml:space="preserve"> mana </w:t>
      </w:r>
      <w:proofErr w:type="spellStart"/>
      <w:r w:rsidRPr="00060A7D">
        <w:rPr>
          <w:rFonts w:ascii="Garamond" w:hAnsi="Garamond"/>
          <w:sz w:val="24"/>
          <w:szCs w:val="24"/>
        </w:rPr>
        <w:t>pendekatan</w:t>
      </w:r>
      <w:proofErr w:type="spellEnd"/>
      <w:r w:rsidRPr="00060A7D">
        <w:rPr>
          <w:rFonts w:ascii="Garamond" w:hAnsi="Garamond"/>
          <w:sz w:val="24"/>
          <w:szCs w:val="24"/>
        </w:rPr>
        <w:t xml:space="preserve"> </w:t>
      </w:r>
      <w:proofErr w:type="spellStart"/>
      <w:r w:rsidRPr="00060A7D">
        <w:rPr>
          <w:rFonts w:ascii="Garamond" w:hAnsi="Garamond"/>
          <w:sz w:val="24"/>
          <w:szCs w:val="24"/>
        </w:rPr>
        <w:t>tersebut</w:t>
      </w:r>
      <w:proofErr w:type="spellEnd"/>
      <w:r w:rsidRPr="00060A7D">
        <w:rPr>
          <w:rFonts w:ascii="Garamond" w:hAnsi="Garamond"/>
          <w:sz w:val="24"/>
          <w:szCs w:val="24"/>
        </w:rPr>
        <w:t xml:space="preserve"> </w:t>
      </w:r>
      <w:proofErr w:type="spellStart"/>
      <w:r w:rsidRPr="00060A7D">
        <w:rPr>
          <w:rFonts w:ascii="Garamond" w:hAnsi="Garamond"/>
          <w:sz w:val="24"/>
          <w:szCs w:val="24"/>
        </w:rPr>
        <w:t>mampu</w:t>
      </w:r>
      <w:proofErr w:type="spellEnd"/>
      <w:r w:rsidRPr="00060A7D">
        <w:rPr>
          <w:rFonts w:ascii="Garamond" w:hAnsi="Garamond"/>
          <w:sz w:val="24"/>
          <w:szCs w:val="24"/>
        </w:rPr>
        <w:t xml:space="preserve"> </w:t>
      </w:r>
      <w:proofErr w:type="spellStart"/>
      <w:r w:rsidRPr="00060A7D">
        <w:rPr>
          <w:rFonts w:ascii="Garamond" w:hAnsi="Garamond"/>
          <w:sz w:val="24"/>
          <w:szCs w:val="24"/>
        </w:rPr>
        <w:t>memberikan</w:t>
      </w:r>
      <w:proofErr w:type="spellEnd"/>
      <w:r w:rsidRPr="00060A7D">
        <w:rPr>
          <w:rFonts w:ascii="Garamond" w:hAnsi="Garamond"/>
          <w:sz w:val="24"/>
          <w:szCs w:val="24"/>
        </w:rPr>
        <w:t xml:space="preserve"> </w:t>
      </w:r>
      <w:proofErr w:type="spellStart"/>
      <w:r w:rsidRPr="00060A7D">
        <w:rPr>
          <w:rFonts w:ascii="Garamond" w:hAnsi="Garamond"/>
          <w:sz w:val="24"/>
          <w:szCs w:val="24"/>
        </w:rPr>
        <w:t>kontribusi</w:t>
      </w:r>
      <w:proofErr w:type="spellEnd"/>
      <w:r w:rsidRPr="00060A7D">
        <w:rPr>
          <w:rFonts w:ascii="Garamond" w:hAnsi="Garamond"/>
          <w:sz w:val="24"/>
          <w:szCs w:val="24"/>
        </w:rPr>
        <w:t xml:space="preserve"> </w:t>
      </w:r>
      <w:proofErr w:type="spellStart"/>
      <w:r w:rsidRPr="00060A7D">
        <w:rPr>
          <w:rFonts w:ascii="Garamond" w:hAnsi="Garamond"/>
          <w:sz w:val="24"/>
          <w:szCs w:val="24"/>
        </w:rPr>
        <w:t>terhadap</w:t>
      </w:r>
      <w:proofErr w:type="spellEnd"/>
      <w:r w:rsidRPr="00060A7D">
        <w:rPr>
          <w:rFonts w:ascii="Garamond" w:hAnsi="Garamond"/>
          <w:sz w:val="24"/>
          <w:szCs w:val="24"/>
        </w:rPr>
        <w:t xml:space="preserve"> </w:t>
      </w:r>
      <w:proofErr w:type="spellStart"/>
      <w:r w:rsidRPr="00060A7D">
        <w:rPr>
          <w:rFonts w:ascii="Garamond" w:hAnsi="Garamond"/>
          <w:sz w:val="24"/>
          <w:szCs w:val="24"/>
        </w:rPr>
        <w:t>pengembangan</w:t>
      </w:r>
      <w:proofErr w:type="spellEnd"/>
      <w:r w:rsidRPr="00060A7D">
        <w:rPr>
          <w:rFonts w:ascii="Garamond" w:hAnsi="Garamond"/>
          <w:sz w:val="24"/>
          <w:szCs w:val="24"/>
        </w:rPr>
        <w:t xml:space="preserve"> </w:t>
      </w:r>
      <w:proofErr w:type="spellStart"/>
      <w:r w:rsidRPr="00060A7D">
        <w:rPr>
          <w:rFonts w:ascii="Garamond" w:hAnsi="Garamond"/>
          <w:sz w:val="24"/>
          <w:szCs w:val="24"/>
        </w:rPr>
        <w:t>studi</w:t>
      </w:r>
      <w:proofErr w:type="spellEnd"/>
      <w:r w:rsidRPr="00060A7D">
        <w:rPr>
          <w:rFonts w:ascii="Garamond" w:hAnsi="Garamond"/>
          <w:sz w:val="24"/>
          <w:szCs w:val="24"/>
        </w:rPr>
        <w:t xml:space="preserve"> </w:t>
      </w:r>
      <w:proofErr w:type="spellStart"/>
      <w:r w:rsidRPr="00060A7D">
        <w:rPr>
          <w:rFonts w:ascii="Garamond" w:hAnsi="Garamond"/>
          <w:sz w:val="24"/>
          <w:szCs w:val="24"/>
        </w:rPr>
        <w:t>hukum</w:t>
      </w:r>
      <w:proofErr w:type="spellEnd"/>
      <w:r w:rsidRPr="00060A7D">
        <w:rPr>
          <w:rFonts w:ascii="Garamond" w:hAnsi="Garamond"/>
          <w:sz w:val="24"/>
          <w:szCs w:val="24"/>
        </w:rPr>
        <w:t xml:space="preserve"> Islam yang </w:t>
      </w:r>
      <w:proofErr w:type="spellStart"/>
      <w:r w:rsidRPr="00060A7D">
        <w:rPr>
          <w:rFonts w:ascii="Garamond" w:hAnsi="Garamond"/>
          <w:sz w:val="24"/>
          <w:szCs w:val="24"/>
        </w:rPr>
        <w:t>responsif</w:t>
      </w:r>
      <w:proofErr w:type="spellEnd"/>
      <w:r w:rsidRPr="00060A7D">
        <w:rPr>
          <w:rFonts w:ascii="Garamond" w:hAnsi="Garamond"/>
          <w:sz w:val="24"/>
          <w:szCs w:val="24"/>
        </w:rPr>
        <w:t xml:space="preserve"> </w:t>
      </w:r>
      <w:proofErr w:type="spellStart"/>
      <w:r w:rsidRPr="00060A7D">
        <w:rPr>
          <w:rFonts w:ascii="Garamond" w:hAnsi="Garamond"/>
          <w:sz w:val="24"/>
          <w:szCs w:val="24"/>
        </w:rPr>
        <w:t>terhadap</w:t>
      </w:r>
      <w:proofErr w:type="spellEnd"/>
      <w:r w:rsidRPr="00060A7D">
        <w:rPr>
          <w:rFonts w:ascii="Garamond" w:hAnsi="Garamond"/>
          <w:sz w:val="24"/>
          <w:szCs w:val="24"/>
        </w:rPr>
        <w:t xml:space="preserve"> </w:t>
      </w:r>
      <w:proofErr w:type="spellStart"/>
      <w:r w:rsidRPr="00060A7D">
        <w:rPr>
          <w:rFonts w:ascii="Garamond" w:hAnsi="Garamond"/>
          <w:sz w:val="24"/>
          <w:szCs w:val="24"/>
        </w:rPr>
        <w:t>tantangan</w:t>
      </w:r>
      <w:proofErr w:type="spellEnd"/>
      <w:r w:rsidRPr="00060A7D">
        <w:rPr>
          <w:rFonts w:ascii="Garamond" w:hAnsi="Garamond"/>
          <w:sz w:val="24"/>
          <w:szCs w:val="24"/>
        </w:rPr>
        <w:t xml:space="preserve"> zaman.</w:t>
      </w:r>
    </w:p>
    <w:p w14:paraId="6E681C90" w14:textId="77777777" w:rsidR="00F113E2" w:rsidRPr="00060A7D" w:rsidRDefault="00F113E2" w:rsidP="00060A7D">
      <w:pPr>
        <w:spacing w:after="0" w:line="360" w:lineRule="auto"/>
        <w:ind w:left="-2" w:firstLineChars="355" w:firstLine="852"/>
        <w:jc w:val="both"/>
        <w:rPr>
          <w:rFonts w:ascii="Garamond" w:hAnsi="Garamond" w:cstheme="majorBidi"/>
          <w:sz w:val="24"/>
          <w:szCs w:val="24"/>
        </w:rPr>
      </w:pPr>
      <w:r w:rsidRPr="00060A7D">
        <w:rPr>
          <w:rFonts w:ascii="Garamond" w:hAnsi="Garamond" w:cstheme="majorBidi"/>
          <w:sz w:val="24"/>
          <w:szCs w:val="24"/>
        </w:rPr>
        <w:t xml:space="preserve">Tujuan penulisan ini ingin memahami 3 hal. Pertama, paradigma pemikiran fazlur rahman tentang etika hukum penafsiran alqur’an. Hal ini berkaitan dengan bentuk-bentuk tema Studi al-qur’an dan hadits. Kedua, faktor yang mempengaruhi penafsiran tentang etika hukum qur’an yang mana hal ini berkaitan dengan faktor-faktor internal dan eksternal yang mendukung maupun menghambat. Ketiga, implikasi pemikiran fazlur rahman terhadap </w:t>
      </w:r>
      <w:r w:rsidRPr="00060A7D">
        <w:rPr>
          <w:rFonts w:ascii="Garamond" w:hAnsi="Garamond" w:cstheme="majorBidi"/>
          <w:sz w:val="24"/>
          <w:szCs w:val="24"/>
        </w:rPr>
        <w:lastRenderedPageBreak/>
        <w:t>perkembangan pemikiran modern atau kontemporer dunia Islam dan hal ini akan berkaitan dengan dampak positif dan negatif yang ditimbulkan.</w:t>
      </w:r>
    </w:p>
    <w:p w14:paraId="20080863" w14:textId="70A7B940" w:rsidR="00F113E2" w:rsidRPr="00060A7D" w:rsidRDefault="00F113E2" w:rsidP="00060A7D">
      <w:pPr>
        <w:spacing w:after="0" w:line="360" w:lineRule="auto"/>
        <w:ind w:left="-2" w:firstLineChars="355" w:firstLine="852"/>
        <w:jc w:val="both"/>
        <w:rPr>
          <w:rFonts w:ascii="Garamond" w:hAnsi="Garamond" w:cstheme="majorBidi"/>
          <w:sz w:val="24"/>
          <w:szCs w:val="24"/>
        </w:rPr>
      </w:pPr>
      <w:r w:rsidRPr="00060A7D">
        <w:rPr>
          <w:rFonts w:ascii="Garamond" w:hAnsi="Garamond" w:cstheme="majorBidi"/>
          <w:sz w:val="24"/>
          <w:szCs w:val="24"/>
        </w:rPr>
        <w:t xml:space="preserve">Kajian pemikiran Fazlur Rahman ataupun tentang penafsiran etik-hukum Al-Qur’an sudah pernah dibahas oleh beberapa akademisi, Mayoritas kajian yang ada sampai saat ini terhadap karya-karya dari Fazlur Rahman, banyak berfokus pada pendekatannya dalam menafsirkan Al-Qur'an </w:t>
      </w:r>
      <w:r w:rsidR="00E55D3B" w:rsidRPr="00060A7D">
        <w:rPr>
          <w:rStyle w:val="FootnoteReference"/>
          <w:rFonts w:ascii="Garamond" w:hAnsi="Garamond" w:cstheme="majorBidi"/>
          <w:sz w:val="24"/>
          <w:szCs w:val="24"/>
        </w:rPr>
        <w:fldChar w:fldCharType="begin" w:fldLock="1"/>
      </w:r>
      <w:r w:rsidR="00EC1D80" w:rsidRPr="00060A7D">
        <w:rPr>
          <w:rFonts w:ascii="Garamond" w:hAnsi="Garamond" w:cstheme="majorBidi"/>
          <w:sz w:val="24"/>
          <w:szCs w:val="24"/>
        </w:rPr>
        <w:instrText>ADDIN CSL_CITATION {"citationItems":[{"id":"ITEM-1","itemData":{"DOI":"10.1111/muwo.12334","ISSN":"14781913","abstract":"This article examines the influence of Fazlur Rahman, one of the most widely quoted scholars among contemporary Muslim modernists, on contemporary Islamic thought. It explores how Rahman’s ideas about revelation and the interpretation of the Qur</w:instrText>
      </w:r>
      <w:r w:rsidR="00EC1D80" w:rsidRPr="00060A7D">
        <w:rPr>
          <w:rFonts w:ascii="Times New Roman" w:hAnsi="Times New Roman" w:cs="Times New Roman"/>
          <w:sz w:val="24"/>
          <w:szCs w:val="24"/>
        </w:rPr>
        <w:instrText>ʾ</w:instrText>
      </w:r>
      <w:r w:rsidR="00EC1D80" w:rsidRPr="00060A7D">
        <w:rPr>
          <w:rFonts w:ascii="Garamond" w:hAnsi="Garamond" w:cs="Garamond"/>
          <w:sz w:val="24"/>
          <w:szCs w:val="24"/>
        </w:rPr>
        <w:instrText>ā</w:instrText>
      </w:r>
      <w:r w:rsidR="00EC1D80" w:rsidRPr="00060A7D">
        <w:rPr>
          <w:rFonts w:ascii="Garamond" w:hAnsi="Garamond" w:cstheme="majorBidi"/>
          <w:sz w:val="24"/>
          <w:szCs w:val="24"/>
        </w:rPr>
        <w:instrText>n have influenced some contemporary Muslim scholars of the late twentieth and early twenty-first centuries, such as Abdolkarim Soroush, Arash Naraqi, Abdullah Saeed, Nurcholish Madjid, Farid Esack and Amina Wadud, and thus have given rise – whether directly or indirectly – to such schools of thought as Islamic liberation theology and feminist exegesis of the Qur</w:instrText>
      </w:r>
      <w:r w:rsidR="00EC1D80" w:rsidRPr="00060A7D">
        <w:rPr>
          <w:rFonts w:ascii="Times New Roman" w:hAnsi="Times New Roman" w:cs="Times New Roman"/>
          <w:sz w:val="24"/>
          <w:szCs w:val="24"/>
        </w:rPr>
        <w:instrText>ʾ</w:instrText>
      </w:r>
      <w:r w:rsidR="00EC1D80" w:rsidRPr="00060A7D">
        <w:rPr>
          <w:rFonts w:ascii="Garamond" w:hAnsi="Garamond" w:cs="Garamond"/>
          <w:sz w:val="24"/>
          <w:szCs w:val="24"/>
        </w:rPr>
        <w:instrText>ā</w:instrText>
      </w:r>
      <w:r w:rsidR="00EC1D80" w:rsidRPr="00060A7D">
        <w:rPr>
          <w:rFonts w:ascii="Garamond" w:hAnsi="Garamond" w:cstheme="majorBidi"/>
          <w:sz w:val="24"/>
          <w:szCs w:val="24"/>
        </w:rPr>
        <w:instrText>n. The article also provides a critical evaluation the thought of Fazlur Rahman, and examines how its shortcomings have been rectified by his followers. The article ends with some recommendations to contextualist scholars about Qur</w:instrText>
      </w:r>
      <w:r w:rsidR="00EC1D80" w:rsidRPr="00060A7D">
        <w:rPr>
          <w:rFonts w:ascii="Times New Roman" w:hAnsi="Times New Roman" w:cs="Times New Roman"/>
          <w:sz w:val="24"/>
          <w:szCs w:val="24"/>
        </w:rPr>
        <w:instrText>ʾ</w:instrText>
      </w:r>
      <w:r w:rsidR="00EC1D80" w:rsidRPr="00060A7D">
        <w:rPr>
          <w:rFonts w:ascii="Garamond" w:hAnsi="Garamond" w:cs="Garamond"/>
          <w:sz w:val="24"/>
          <w:szCs w:val="24"/>
        </w:rPr>
        <w:instrText>ā</w:instrText>
      </w:r>
      <w:r w:rsidR="00EC1D80" w:rsidRPr="00060A7D">
        <w:rPr>
          <w:rFonts w:ascii="Garamond" w:hAnsi="Garamond" w:cstheme="majorBidi"/>
          <w:sz w:val="24"/>
          <w:szCs w:val="24"/>
        </w:rPr>
        <w:instrText>nic justice and its relation with our contemporary understandings of justice.","author":[{"dropping-particle":"","family":"Akbar","given":"Ali","non-dropping-particle":"","parse-names":false,"suffix":""}],"container-title":"Muslim World","id":"ITEM-1","issue":"2","issued":{"date-parts":[["2020"]]},"page":"129-153","title":"Fazlur Rahman’s Influence on Contemporary Islamic Thought","type":"article-journal","volume":"110"},"uris":["http://www.mendeley.com/documents/?uuid=dc4017c6-d30d-42d8-8fd8-733ac4b74efb"]}],"mendeley":{"formattedCitation":"(Akbar, 2020)","plainTextFormattedCitation":"(Akbar, 2020)","previouslyFormattedCitation":"(Akbar, 2020)"},"properties":{"noteIndex":0},"schema":"https://github.com/citation-style-language/schema/raw/master/csl-citation.json"}</w:instrText>
      </w:r>
      <w:r w:rsidR="00E55D3B" w:rsidRPr="00060A7D">
        <w:rPr>
          <w:rStyle w:val="FootnoteReference"/>
          <w:rFonts w:ascii="Garamond" w:hAnsi="Garamond" w:cstheme="majorBidi"/>
          <w:sz w:val="24"/>
          <w:szCs w:val="24"/>
        </w:rPr>
        <w:fldChar w:fldCharType="separate"/>
      </w:r>
      <w:r w:rsidR="00E55D3B" w:rsidRPr="00060A7D">
        <w:rPr>
          <w:rFonts w:ascii="Garamond" w:hAnsi="Garamond" w:cstheme="majorBidi"/>
          <w:noProof/>
          <w:sz w:val="24"/>
          <w:szCs w:val="24"/>
        </w:rPr>
        <w:t>(Akbar, 2020)</w:t>
      </w:r>
      <w:r w:rsidR="00E55D3B" w:rsidRPr="00060A7D">
        <w:rPr>
          <w:rStyle w:val="FootnoteReference"/>
          <w:rFonts w:ascii="Garamond" w:hAnsi="Garamond" w:cstheme="majorBidi"/>
          <w:sz w:val="24"/>
          <w:szCs w:val="24"/>
        </w:rPr>
        <w:fldChar w:fldCharType="end"/>
      </w:r>
      <w:r w:rsidRPr="00060A7D">
        <w:rPr>
          <w:rFonts w:ascii="Garamond" w:hAnsi="Garamond" w:cstheme="majorBidi"/>
          <w:sz w:val="24"/>
          <w:szCs w:val="24"/>
        </w:rPr>
        <w:t xml:space="preserve">. Penelitian itu diantaranya Hamdan Maghribi dan Alfina Hidayah </w:t>
      </w:r>
      <w:r w:rsidR="00E55D3B" w:rsidRPr="00060A7D">
        <w:rPr>
          <w:rStyle w:val="FootnoteReference"/>
          <w:rFonts w:ascii="Garamond" w:hAnsi="Garamond" w:cstheme="majorBidi"/>
          <w:sz w:val="24"/>
          <w:szCs w:val="24"/>
        </w:rPr>
        <w:fldChar w:fldCharType="begin" w:fldLock="1"/>
      </w:r>
      <w:r w:rsidR="00EC1D80" w:rsidRPr="00060A7D">
        <w:rPr>
          <w:rFonts w:ascii="Garamond" w:hAnsi="Garamond" w:cstheme="majorBidi"/>
          <w:sz w:val="24"/>
          <w:szCs w:val="24"/>
        </w:rPr>
        <w:instrText>ADDIN CSL_CITATION {"citationItems":[{"id":"ITEM-1","itemData":{"DOI":"10.28918/religia.v26i1.865","ISSN":"2527-5992","abstract":"The exegetical approaches that Muhammad Abduh and Fazlur Rahman used to study the Qur’ān are this study’s main focus of discussion. The research is essential to enrich the literature of contemporary Islamic studies by contesting the two scholars’ interpretation approaches. This article will answer whether the contextualized interpretation model is still relevant today by comparing and contrasting Abduh and Rahman’s respective interpretive approaches and providing examples of the verses mentioned. Hence, this study is qualitative-library research, whereas data processing relies on content analysis and comparative methods. Nevertheless, reading Abduh and Rahman’s ideas within contemporary situations is still necessary because of its rational-contextual interpretation, which is compatible with modern society and needs.","author":[{"dropping-particle":"","family":"Maghribi","given":"Hamdan","non-dropping-particle":"","parse-names":false,"suffix":""},{"dropping-particle":"","family":"Hidayah","given":"Alfina","non-dropping-particle":"","parse-names":false,"suffix":""}],"container-title":"Religia","id":"ITEM-1","issue":"1","issued":{"date-parts":[["2023"]]},"page":"40-57","title":"Contesting the Exegetical Approaches of Muhammad Abduh and Fazlur Rahman to the Qur’ān","type":"article","volume":"26"},"uris":["http://www.mendeley.com/documents/?uuid=f9c9461e-f0f7-4d33-8878-74d4da49ffcc"]}],"mendeley":{"formattedCitation":"(Maghribi &amp; Hidayah, 2023)","plainTextFormattedCitation":"(Maghribi &amp; Hidayah, 2023)","previouslyFormattedCitation":"(Maghribi &amp; Hidayah, 2023)"},"properties":{"noteIndex":0},"schema":"https://github.com/citation-style-language/schema/raw/master/csl-citation.json"}</w:instrText>
      </w:r>
      <w:r w:rsidR="00E55D3B" w:rsidRPr="00060A7D">
        <w:rPr>
          <w:rStyle w:val="FootnoteReference"/>
          <w:rFonts w:ascii="Garamond" w:hAnsi="Garamond" w:cstheme="majorBidi"/>
          <w:sz w:val="24"/>
          <w:szCs w:val="24"/>
        </w:rPr>
        <w:fldChar w:fldCharType="separate"/>
      </w:r>
      <w:r w:rsidR="00E55D3B" w:rsidRPr="00060A7D">
        <w:rPr>
          <w:rFonts w:ascii="Garamond" w:hAnsi="Garamond" w:cstheme="majorBidi"/>
          <w:noProof/>
          <w:sz w:val="24"/>
          <w:szCs w:val="24"/>
        </w:rPr>
        <w:t>(Maghribi &amp; Hidayah, 2023)</w:t>
      </w:r>
      <w:r w:rsidR="00E55D3B" w:rsidRPr="00060A7D">
        <w:rPr>
          <w:rStyle w:val="FootnoteReference"/>
          <w:rFonts w:ascii="Garamond" w:hAnsi="Garamond" w:cstheme="majorBidi"/>
          <w:sz w:val="24"/>
          <w:szCs w:val="24"/>
        </w:rPr>
        <w:fldChar w:fldCharType="end"/>
      </w:r>
      <w:r w:rsidRPr="00060A7D">
        <w:rPr>
          <w:rFonts w:ascii="Garamond" w:hAnsi="Garamond" w:cstheme="majorBidi"/>
          <w:sz w:val="24"/>
          <w:szCs w:val="24"/>
        </w:rPr>
        <w:t>, Muhammad Ash-Shiddiqy dan Intan Diana Fitriyati,</w:t>
      </w:r>
      <w:r w:rsidR="00E55D3B" w:rsidRPr="00060A7D">
        <w:rPr>
          <w:rStyle w:val="FootnoteReference"/>
          <w:rFonts w:ascii="Garamond" w:hAnsi="Garamond" w:cstheme="majorBidi"/>
          <w:sz w:val="24"/>
          <w:szCs w:val="24"/>
        </w:rPr>
        <w:fldChar w:fldCharType="begin" w:fldLock="1"/>
      </w:r>
      <w:r w:rsidR="00CA47EB" w:rsidRPr="00060A7D">
        <w:rPr>
          <w:rFonts w:ascii="Garamond" w:hAnsi="Garamond" w:cstheme="majorBidi"/>
          <w:sz w:val="24"/>
          <w:szCs w:val="24"/>
        </w:rPr>
        <w:instrText xml:space="preserve">ADDIN CSL_CITATION {"citationItems":[{"id":"ITEM-1","itemData":{"DOI":"10.24090/nuraicon.v1i1.22","abstract":"This paper discusses ethico-legal texts and Abdullah Saeed's hierarchy of values </w:instrText>
      </w:r>
      <w:r w:rsidR="00CA47EB" w:rsidRPr="00060A7D">
        <w:rPr>
          <w:rFonts w:ascii="Times New Roman" w:hAnsi="Times New Roman" w:cs="Times New Roman"/>
          <w:sz w:val="24"/>
          <w:szCs w:val="24"/>
        </w:rPr>
        <w:instrText>​​</w:instrText>
      </w:r>
      <w:r w:rsidR="00CA47EB" w:rsidRPr="00060A7D">
        <w:rPr>
          <w:rFonts w:ascii="Garamond" w:hAnsi="Garamond" w:cstheme="majorBidi"/>
          <w:sz w:val="24"/>
          <w:szCs w:val="24"/>
        </w:rPr>
        <w:instrText xml:space="preserve">in dealing with ethico-legal texts. This paper uses an approach to the literature of the book Interpreting The Qur'an: Towards a Contemporary Approach by Abdullah Saeed. Ethico-legal texts include texts of legal orders, punishments for crimes, belief systems, worship practices, and universal values </w:instrText>
      </w:r>
      <w:r w:rsidR="00CA47EB" w:rsidRPr="00060A7D">
        <w:rPr>
          <w:rFonts w:ascii="Times New Roman" w:hAnsi="Times New Roman" w:cs="Times New Roman"/>
          <w:sz w:val="24"/>
          <w:szCs w:val="24"/>
        </w:rPr>
        <w:instrText>​​</w:instrText>
      </w:r>
      <w:r w:rsidR="00CA47EB" w:rsidRPr="00060A7D">
        <w:rPr>
          <w:rFonts w:ascii="Garamond" w:hAnsi="Garamond" w:cstheme="majorBidi"/>
          <w:sz w:val="24"/>
          <w:szCs w:val="24"/>
        </w:rPr>
        <w:instrText xml:space="preserve">(kulliyat al khams) such as the maintenance of religion, reason, soul, lineage and property. Interpreting legal-ethical texts according to Abdullah Saeed is a difficult thing because it requires consideration not only of the linguistic aspects of the text but also the socio-historical dimensions. Where the socio-historical interpretation can at the same time reveal the ethical dimensions of the text. The content is often ignored by the commentators and the legal orientation dominates over them. The text or verse is translated directly from the normative-ethical message of the verse. The legal text in the Qur'an is conveyed in detail, except for those relating to verses of worship. To help interpret the ethico-legal text, Saeed formulates what starts with a hierarchy of values </w:instrText>
      </w:r>
      <w:r w:rsidR="00CA47EB" w:rsidRPr="00060A7D">
        <w:rPr>
          <w:rFonts w:ascii="Times New Roman" w:hAnsi="Times New Roman" w:cs="Times New Roman"/>
          <w:sz w:val="24"/>
          <w:szCs w:val="24"/>
        </w:rPr>
        <w:instrText>​​</w:instrText>
      </w:r>
      <w:r w:rsidR="00CA47EB" w:rsidRPr="00060A7D">
        <w:rPr>
          <w:rFonts w:ascii="Garamond" w:hAnsi="Garamond" w:cstheme="majorBidi"/>
          <w:sz w:val="24"/>
          <w:szCs w:val="24"/>
        </w:rPr>
        <w:instrText xml:space="preserve">which includes obligatory values, fundamental values, protective values, and implementation values. implementation values) and instructional values </w:instrText>
      </w:r>
      <w:r w:rsidR="00CA47EB" w:rsidRPr="00060A7D">
        <w:rPr>
          <w:rFonts w:ascii="Times New Roman" w:hAnsi="Times New Roman" w:cs="Times New Roman"/>
          <w:sz w:val="24"/>
          <w:szCs w:val="24"/>
        </w:rPr>
        <w:instrText>​​</w:instrText>
      </w:r>
      <w:r w:rsidR="00CA47EB" w:rsidRPr="00060A7D">
        <w:rPr>
          <w:rFonts w:ascii="Garamond" w:hAnsi="Garamond" w:cstheme="majorBidi"/>
          <w:sz w:val="24"/>
          <w:szCs w:val="24"/>
        </w:rPr>
        <w:instrText>(instructional values).","author":[{"dropping-particle":"","family":"Ash-Shiddiqy","given":"Muhammad","non-dropping-particle":"","parse-names":false,"suffix":""},{"dropping-particle":"","family":"Fitriyati","given":"Intan Diana","non-dropping-particle":"","parse-names":false,"suffix":""}],"container-title":"International Proceedings of Nusantara Raya","id":"ITEM-1","issue":"1","issued":{"date-parts":[["2022"]]},"page":"25-29","title":"Analysis of Ethico Legal Texts and Abdullah Saeed's Hierarchy of Values in Dealing with Ethico Legal Texts","type":"article-journal","volume":"1"},"uris":["http://www.mendeley.com/documents/?uuid=b1e56fdc-def5-4745-9d13-847165178eca"]}],"mendeley":{"formattedCitation":"(Ash-Shiddiqy &amp; Fitriyati, 2022)","plainTextFormattedCitation":"(Ash-Shiddiqy &amp; Fitriyati, 2022)","previouslyFormattedCitation":"(Ash-Shiddiqy &amp; Fitriyati, 2022)"},"properties":{"noteIndex":0},"schema":"https://github.com/citation-style-language/schema/raw/master/csl-citation.json"}</w:instrText>
      </w:r>
      <w:r w:rsidR="00E55D3B" w:rsidRPr="00060A7D">
        <w:rPr>
          <w:rStyle w:val="FootnoteReference"/>
          <w:rFonts w:ascii="Garamond" w:hAnsi="Garamond" w:cstheme="majorBidi"/>
          <w:sz w:val="24"/>
          <w:szCs w:val="24"/>
        </w:rPr>
        <w:fldChar w:fldCharType="separate"/>
      </w:r>
      <w:r w:rsidR="00CA47EB" w:rsidRPr="00060A7D">
        <w:rPr>
          <w:rFonts w:ascii="Garamond" w:hAnsi="Garamond" w:cstheme="majorBidi"/>
          <w:bCs/>
          <w:noProof/>
          <w:sz w:val="24"/>
          <w:szCs w:val="24"/>
          <w:lang w:val="en-US"/>
        </w:rPr>
        <w:t>(Ash-Shiddiqy &amp; Fitriyati, 2022)</w:t>
      </w:r>
      <w:r w:rsidR="00E55D3B" w:rsidRPr="00060A7D">
        <w:rPr>
          <w:rStyle w:val="FootnoteReference"/>
          <w:rFonts w:ascii="Garamond" w:hAnsi="Garamond" w:cstheme="majorBidi"/>
          <w:sz w:val="24"/>
          <w:szCs w:val="24"/>
        </w:rPr>
        <w:fldChar w:fldCharType="end"/>
      </w:r>
      <w:r w:rsidRPr="00060A7D">
        <w:rPr>
          <w:rFonts w:ascii="Garamond" w:hAnsi="Garamond" w:cstheme="majorBidi"/>
          <w:sz w:val="24"/>
          <w:szCs w:val="24"/>
        </w:rPr>
        <w:t xml:space="preserve">, Abdullah Saeed </w:t>
      </w:r>
      <w:r w:rsidR="00E55D3B" w:rsidRPr="00060A7D">
        <w:rPr>
          <w:rStyle w:val="FootnoteReference"/>
          <w:rFonts w:ascii="Garamond" w:hAnsi="Garamond" w:cstheme="majorBidi"/>
          <w:sz w:val="24"/>
          <w:szCs w:val="24"/>
        </w:rPr>
        <w:fldChar w:fldCharType="begin" w:fldLock="1"/>
      </w:r>
      <w:r w:rsidR="00EC1D80" w:rsidRPr="00060A7D">
        <w:rPr>
          <w:rFonts w:ascii="Garamond" w:hAnsi="Garamond" w:cstheme="majorBidi"/>
          <w:sz w:val="24"/>
          <w:szCs w:val="24"/>
        </w:rPr>
        <w:instrText>ADDIN CSL_CITATION {"citationItems":[{"id":"ITEM-1","itemData":{"DOI":"10.1017/S0041977X08000517","ISSN":"0041977X","abstract":"A \"contextualist\" reading of the Quran is becoming increasingly popular, particularly among those Muslims referred to as \"progressive-ijtihadis\". One of the primary concerns of this reading is that in order to understand and interpret the ethico-legal content of the Quran and relate that content to the changing needs and circumstances of Muslims today, it is important to approach the text at different levels, giving a high degree of emphasis to the sociohistorical context of the text. In the classical tafsīr this emphasis on socio-historical context was not considered important, particularly in the interpretation of the ethico-legal texts, despite the frequent use of asbāb al-nuzūl literature. In this paper, I will explore how progressive-ijtihadis are adopting a contextualist reading of ethico-legal texts of the Quran. To illustrate this, I will use one or two such texts (verses) and their interpretations by the progressive-ijtihadis and will seek to demonstrate the contours of this approach, and highlight some of the challenges this approach is facing. © School of Oriental and African Studies.","author":[{"dropping-particle":"","family":"Saeed","given":"Abdullah","non-dropping-particle":"","parse-names":false,"suffix":""}],"container-title":"Bulletin of the School of Oriental and African Studies","id":"ITEM-1","issue":"2","issued":{"date-parts":[["2008"]]},"page":"221-237","title":"Some reflections on the contextualist approach to ethico-legal texts of the Quran","type":"article-journal","volume":"71"},"uris":["http://www.mendeley.com/documents/?uuid=d77eff20-14a9-4e32-843d-1495bea6be94"]}],"mendeley":{"formattedCitation":"(Saeed, 2008)","plainTextFormattedCitation":"(Saeed, 2008)","previouslyFormattedCitation":"(Saeed, 2008)"},"properties":{"noteIndex":0},"schema":"https://github.com/citation-style-language/schema/raw/master/csl-citation.json"}</w:instrText>
      </w:r>
      <w:r w:rsidR="00E55D3B" w:rsidRPr="00060A7D">
        <w:rPr>
          <w:rStyle w:val="FootnoteReference"/>
          <w:rFonts w:ascii="Garamond" w:hAnsi="Garamond" w:cstheme="majorBidi"/>
          <w:sz w:val="24"/>
          <w:szCs w:val="24"/>
        </w:rPr>
        <w:fldChar w:fldCharType="separate"/>
      </w:r>
      <w:r w:rsidR="00E55D3B" w:rsidRPr="00060A7D">
        <w:rPr>
          <w:rFonts w:ascii="Garamond" w:hAnsi="Garamond" w:cstheme="majorBidi"/>
          <w:bCs/>
          <w:noProof/>
          <w:sz w:val="24"/>
          <w:szCs w:val="24"/>
          <w:lang w:val="en-US"/>
        </w:rPr>
        <w:t>(Saeed, 2008)</w:t>
      </w:r>
      <w:r w:rsidR="00E55D3B" w:rsidRPr="00060A7D">
        <w:rPr>
          <w:rStyle w:val="FootnoteReference"/>
          <w:rFonts w:ascii="Garamond" w:hAnsi="Garamond" w:cstheme="majorBidi"/>
          <w:sz w:val="24"/>
          <w:szCs w:val="24"/>
        </w:rPr>
        <w:fldChar w:fldCharType="end"/>
      </w:r>
      <w:r w:rsidRPr="00060A7D">
        <w:rPr>
          <w:rFonts w:ascii="Garamond" w:hAnsi="Garamond" w:cstheme="majorBidi"/>
          <w:sz w:val="24"/>
          <w:szCs w:val="24"/>
        </w:rPr>
        <w:t xml:space="preserve">, Latifah dan Sharifah </w:t>
      </w:r>
      <w:r w:rsidR="00E55D3B" w:rsidRPr="00060A7D">
        <w:rPr>
          <w:rStyle w:val="FootnoteReference"/>
          <w:rFonts w:ascii="Garamond" w:hAnsi="Garamond" w:cstheme="majorBidi"/>
          <w:sz w:val="24"/>
          <w:szCs w:val="24"/>
        </w:rPr>
        <w:fldChar w:fldCharType="begin" w:fldLock="1"/>
      </w:r>
      <w:r w:rsidR="00CA47EB" w:rsidRPr="00060A7D">
        <w:rPr>
          <w:rFonts w:ascii="Garamond" w:hAnsi="Garamond" w:cstheme="majorBidi"/>
          <w:sz w:val="24"/>
          <w:szCs w:val="24"/>
        </w:rPr>
        <w:instrText>ADDIN CSL_CITATION {"citationItems":[{"id":"ITEM-1","itemData":{"DOI":"10.14421/livinghadis.2021.2648","ISSN":"2528-7567","abstract":"Scholars of exegesis (interpretation) are unanimous on the method of interpreting al-Quran and Sunnah. However, Fazlur Rahman proposed a modern method of interpretation by applying hermeneutics. He held that this method is to obtain the universal moral values. His assumption is based on the need for al-Quran to be interpreted in a socio-historical context in order to obtain the reasons and purpose of the revealed text and its moral objectives. Fazlur Rahman’s method of interpretation and analysis has its influence on the Sisters-in-Islam (SIS) group. The objective of this article is to evaluate Fazlur Rahman’s method of interpretation and analyse the influences of Fazlur Rahman’s method determine on women’s issues by the SIS group. This is a qualitative research which uses content analysis approach. Research results demonstrated that SIS have adopted Fazlur Rahman’s hermeneutics in expressing their ideas.","author":[{"dropping-particle":"","family":"Abdul Majid","given":"Latifah","non-dropping-particle":"","parse-names":false,"suffix":""},{"dropping-particle":"","family":"Nayan","given":"Sharifah","non-dropping-particle":"","parse-names":false,"suffix":""}],"container-title":"Jurnal Living Hadis","id":"ITEM-1","issue":"1","issued":{"date-parts":[["2021"]]},"page":"105-120","title":"Ratio-Legal Fazlur Rahman's Hermeneutics and Its Influence on Sisters-In-Islam","type":"article-journal","volume":"6"},"uris":["http://www.mendeley.com/documents/?uuid=f86f3146-70f3-4ca6-a524-d4a0a190a022"]}],"mendeley":{"formattedCitation":"(Abdul Majid &amp; Nayan, 2021)","plainTextFormattedCitation":"(Abdul Majid &amp; Nayan, 2021)","previouslyFormattedCitation":"(Abdul Majid &amp; Nayan, 2021)"},"properties":{"noteIndex":0},"schema":"https://github.com/citation-style-language/schema/raw/master/csl-citation.json"}</w:instrText>
      </w:r>
      <w:r w:rsidR="00E55D3B" w:rsidRPr="00060A7D">
        <w:rPr>
          <w:rStyle w:val="FootnoteReference"/>
          <w:rFonts w:ascii="Garamond" w:hAnsi="Garamond" w:cstheme="majorBidi"/>
          <w:sz w:val="24"/>
          <w:szCs w:val="24"/>
        </w:rPr>
        <w:fldChar w:fldCharType="separate"/>
      </w:r>
      <w:r w:rsidR="00E55D3B" w:rsidRPr="00060A7D">
        <w:rPr>
          <w:rFonts w:ascii="Garamond" w:hAnsi="Garamond" w:cstheme="majorBidi"/>
          <w:bCs/>
          <w:noProof/>
          <w:sz w:val="24"/>
          <w:szCs w:val="24"/>
          <w:lang w:val="en-US"/>
        </w:rPr>
        <w:t>(Abdul Majid &amp; Nayan, 2021)</w:t>
      </w:r>
      <w:r w:rsidR="00E55D3B" w:rsidRPr="00060A7D">
        <w:rPr>
          <w:rStyle w:val="FootnoteReference"/>
          <w:rFonts w:ascii="Garamond" w:hAnsi="Garamond" w:cstheme="majorBidi"/>
          <w:sz w:val="24"/>
          <w:szCs w:val="24"/>
        </w:rPr>
        <w:fldChar w:fldCharType="end"/>
      </w:r>
      <w:r w:rsidRPr="00060A7D">
        <w:rPr>
          <w:rFonts w:ascii="Garamond" w:hAnsi="Garamond" w:cstheme="majorBidi"/>
          <w:sz w:val="24"/>
          <w:szCs w:val="24"/>
        </w:rPr>
        <w:t xml:space="preserve">, dan Ahmad Nabil Amir </w:t>
      </w:r>
      <w:r w:rsidR="00E55D3B" w:rsidRPr="00060A7D">
        <w:rPr>
          <w:rStyle w:val="FootnoteReference"/>
          <w:rFonts w:ascii="Garamond" w:hAnsi="Garamond" w:cstheme="majorBidi"/>
          <w:sz w:val="24"/>
          <w:szCs w:val="24"/>
        </w:rPr>
        <w:fldChar w:fldCharType="begin" w:fldLock="1"/>
      </w:r>
      <w:r w:rsidR="00F01772" w:rsidRPr="00060A7D">
        <w:rPr>
          <w:rFonts w:ascii="Garamond" w:hAnsi="Garamond" w:cstheme="majorBidi"/>
          <w:sz w:val="24"/>
          <w:szCs w:val="24"/>
        </w:rPr>
        <w:instrText>ADDIN CSL_CITATION {"citationItems":[{"id":"ITEM-1","itemData":{"abstract":"… reasoning and argumentative kalam viewpoints and dynamic … Makalah ini meninjau kerangka pemikiran sosiologis Fazlur … penting dalam menimbulkan aliran neo-modernis Islam yang …","author":[{"dropping-particle":"","family":"Amir","given":"Ahmad Nabil","non-dropping-particle":"","parse-names":false,"suffix":""}],"container-title":"Juornal of Multidisciplinary Islamic Studies","id":"ITEM-1","issue":"1","issued":{"date-parts":[["2022"]]},"page":"15-19","title":"Interpreting the Qur'an: Fazlur Rahman's Social Exegesis","type":"article-journal","volume":"2"},"uris":["http://www.mendeley.com/documents/?uuid=44532d7e-e0cf-4931-9d41-ac21fe684f8d"]}],"mendeley":{"formattedCitation":"(Amir, 2022)","plainTextFormattedCitation":"(Amir, 2022)","previouslyFormattedCitation":"(Amir, 2022)"},"properties":{"noteIndex":0},"schema":"https://github.com/citation-style-language/schema/raw/master/csl-citation.json"}</w:instrText>
      </w:r>
      <w:r w:rsidR="00E55D3B" w:rsidRPr="00060A7D">
        <w:rPr>
          <w:rStyle w:val="FootnoteReference"/>
          <w:rFonts w:ascii="Garamond" w:hAnsi="Garamond" w:cstheme="majorBidi"/>
          <w:sz w:val="24"/>
          <w:szCs w:val="24"/>
        </w:rPr>
        <w:fldChar w:fldCharType="separate"/>
      </w:r>
      <w:r w:rsidR="00E55D3B" w:rsidRPr="00060A7D">
        <w:rPr>
          <w:rFonts w:ascii="Garamond" w:hAnsi="Garamond" w:cstheme="majorBidi"/>
          <w:bCs/>
          <w:noProof/>
          <w:sz w:val="24"/>
          <w:szCs w:val="24"/>
          <w:lang w:val="en-US"/>
        </w:rPr>
        <w:t>(Amir, 2022)</w:t>
      </w:r>
      <w:r w:rsidR="00E55D3B" w:rsidRPr="00060A7D">
        <w:rPr>
          <w:rStyle w:val="FootnoteReference"/>
          <w:rFonts w:ascii="Garamond" w:hAnsi="Garamond" w:cstheme="majorBidi"/>
          <w:sz w:val="24"/>
          <w:szCs w:val="24"/>
        </w:rPr>
        <w:fldChar w:fldCharType="end"/>
      </w:r>
      <w:r w:rsidRPr="00060A7D">
        <w:rPr>
          <w:rFonts w:ascii="Garamond" w:hAnsi="Garamond" w:cstheme="majorBidi"/>
          <w:sz w:val="24"/>
          <w:szCs w:val="24"/>
        </w:rPr>
        <w:t>. Penelitian-penelitian tersebut memiliki topik yang relevan dengan apa yang akan penulis tuangkan di dalam artikel ini, namun kelima artikel tersebut tidak membahas detail dan komprehensif masalah kerangka pemikiran Fazlur Rahman dalam menafsirkan kandungan etik-hukum Al-Qur'an.</w:t>
      </w:r>
    </w:p>
    <w:p w14:paraId="4397216F" w14:textId="76BC3258" w:rsidR="00F113E2" w:rsidRPr="00060A7D" w:rsidRDefault="00F113E2" w:rsidP="00060A7D">
      <w:pPr>
        <w:spacing w:after="0" w:line="360" w:lineRule="auto"/>
        <w:ind w:left="-2" w:firstLineChars="355" w:firstLine="852"/>
        <w:jc w:val="both"/>
        <w:rPr>
          <w:rFonts w:ascii="Garamond" w:hAnsi="Garamond" w:cstheme="majorBidi"/>
          <w:sz w:val="24"/>
          <w:szCs w:val="24"/>
        </w:rPr>
      </w:pPr>
      <w:r w:rsidRPr="00060A7D">
        <w:rPr>
          <w:rFonts w:ascii="Garamond" w:hAnsi="Garamond" w:cstheme="majorBidi"/>
          <w:sz w:val="24"/>
          <w:szCs w:val="24"/>
        </w:rPr>
        <w:t>Metode penelitian yang penulis gunakan adalah penelitian kualitatif kepustakaan.</w:t>
      </w:r>
      <w:r w:rsidR="00E55D3B" w:rsidRPr="00060A7D">
        <w:rPr>
          <w:rStyle w:val="FootnoteReference"/>
          <w:rFonts w:ascii="Garamond" w:hAnsi="Garamond" w:cstheme="majorBidi"/>
          <w:sz w:val="24"/>
          <w:szCs w:val="24"/>
        </w:rPr>
        <w:fldChar w:fldCharType="begin" w:fldLock="1"/>
      </w:r>
      <w:r w:rsidR="00EC1D80" w:rsidRPr="00060A7D">
        <w:rPr>
          <w:rFonts w:ascii="Garamond" w:hAnsi="Garamond" w:cstheme="majorBidi"/>
          <w:sz w:val="24"/>
          <w:szCs w:val="24"/>
        </w:rPr>
        <w:instrText>ADDIN CSL_CITATION {"citationItems":[{"id":"ITEM-1","itemData":{"DOI":"10.30868/at.v4i02.598","ISBN":"9788578110796","ISSN":"1098-6596","PMID":"25246403","abstract":"Predicting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approach.","author":[{"dropping-particle":"","family":"Triana","given":"Rumba","non-dropping-particle":"","parse-names":false,"suffix":""}],"container-title":"Al Tadabbur: Jurnal Ilmu AlQur'an dan Tafsir","id":"ITEM-1","issue":"02","issued":{"date-parts":[["2019"]]},"page":"198-215","title":"Desain Penelitian Al-Qur'an dan Tafsir","type":"article-journal","volume":"04"},"uris":["http://www.mendeley.com/documents/?uuid=43b8d452-6562-4179-bde1-6e9e48da5bc0"]}],"mendeley":{"formattedCitation":"(Triana, 2019)","plainTextFormattedCitation":"(Triana, 2019)","previouslyFormattedCitation":"(Triana, 2019)"},"properties":{"noteIndex":0},"schema":"https://github.com/citation-style-language/schema/raw/master/csl-citation.json"}</w:instrText>
      </w:r>
      <w:r w:rsidR="00E55D3B" w:rsidRPr="00060A7D">
        <w:rPr>
          <w:rStyle w:val="FootnoteReference"/>
          <w:rFonts w:ascii="Garamond" w:hAnsi="Garamond" w:cstheme="majorBidi"/>
          <w:sz w:val="24"/>
          <w:szCs w:val="24"/>
        </w:rPr>
        <w:fldChar w:fldCharType="separate"/>
      </w:r>
      <w:r w:rsidR="00E55D3B" w:rsidRPr="00060A7D">
        <w:rPr>
          <w:rFonts w:ascii="Garamond" w:hAnsi="Garamond" w:cstheme="majorBidi"/>
          <w:bCs/>
          <w:noProof/>
          <w:sz w:val="24"/>
          <w:szCs w:val="24"/>
          <w:lang w:val="en-US"/>
        </w:rPr>
        <w:t>(Triana, 2019)</w:t>
      </w:r>
      <w:r w:rsidR="00E55D3B" w:rsidRPr="00060A7D">
        <w:rPr>
          <w:rStyle w:val="FootnoteReference"/>
          <w:rFonts w:ascii="Garamond" w:hAnsi="Garamond" w:cstheme="majorBidi"/>
          <w:sz w:val="24"/>
          <w:szCs w:val="24"/>
        </w:rPr>
        <w:fldChar w:fldCharType="end"/>
      </w:r>
      <w:r w:rsidRPr="00060A7D">
        <w:rPr>
          <w:rFonts w:ascii="Garamond" w:hAnsi="Garamond" w:cstheme="majorBidi"/>
          <w:sz w:val="24"/>
          <w:szCs w:val="24"/>
        </w:rPr>
        <w:t xml:space="preserve"> Pendekatan penelitian yang menjadi pisau dalam melihat cara pandang penulis adalah dengan analisis literatur dari buku </w:t>
      </w:r>
      <w:r w:rsidRPr="00060A7D">
        <w:rPr>
          <w:rFonts w:ascii="Garamond" w:hAnsi="Garamond" w:cstheme="majorBidi"/>
          <w:i/>
          <w:iCs/>
          <w:sz w:val="24"/>
          <w:szCs w:val="24"/>
        </w:rPr>
        <w:t xml:space="preserve">Modern Muslim Intellectuals and The Qur’an </w:t>
      </w:r>
      <w:r w:rsidRPr="00060A7D">
        <w:rPr>
          <w:rFonts w:ascii="Garamond" w:hAnsi="Garamond" w:cstheme="majorBidi"/>
          <w:sz w:val="24"/>
          <w:szCs w:val="24"/>
        </w:rPr>
        <w:t>dan mengkomparasikan pemikiran Fazlur Rahman terebut agar ditemukan titik kesepahaman dalam kerangka penafsiran etik hukum Al-Qur’an. Berdasarkan apa yang penulis teliti, fokus pada kajian ini akan memberikan gambaran refleksi Abdullah Saeed dalam memandang kerangka pemikiran Fazlur Rahman dalam menafsirkan etik-hukum dalam Al-Qur’an.</w:t>
      </w:r>
    </w:p>
    <w:p w14:paraId="1EFD6F2D" w14:textId="0FA05E7C" w:rsidR="00773A32" w:rsidRPr="00060A7D" w:rsidRDefault="00060A7D" w:rsidP="00060A7D">
      <w:pPr>
        <w:widowControl w:val="0"/>
        <w:pBdr>
          <w:top w:val="nil"/>
          <w:left w:val="nil"/>
          <w:bottom w:val="nil"/>
          <w:right w:val="nil"/>
          <w:between w:val="nil"/>
        </w:pBdr>
        <w:spacing w:after="0" w:line="360" w:lineRule="auto"/>
        <w:ind w:right="-34"/>
        <w:jc w:val="both"/>
        <w:rPr>
          <w:rFonts w:ascii="Garamond" w:eastAsia="Garamond" w:hAnsi="Garamond" w:cs="Garamond"/>
          <w:b/>
          <w:color w:val="000000"/>
          <w:sz w:val="24"/>
          <w:szCs w:val="24"/>
        </w:rPr>
      </w:pPr>
      <w:r w:rsidRPr="00060A7D">
        <w:rPr>
          <w:rFonts w:ascii="Garamond" w:eastAsia="Garamond" w:hAnsi="Garamond" w:cs="Garamond"/>
          <w:b/>
          <w:color w:val="000000"/>
          <w:sz w:val="24"/>
          <w:szCs w:val="24"/>
        </w:rPr>
        <w:t>Fazlur Rahman dan Konteks Pemikirannya</w:t>
      </w:r>
    </w:p>
    <w:p w14:paraId="63563234" w14:textId="77777777" w:rsidR="00773A32" w:rsidRPr="00060A7D" w:rsidRDefault="00773A32" w:rsidP="00060A7D">
      <w:pPr>
        <w:spacing w:after="0" w:line="360" w:lineRule="auto"/>
        <w:ind w:left="-2" w:firstLineChars="355" w:firstLine="852"/>
        <w:jc w:val="both"/>
        <w:rPr>
          <w:rFonts w:ascii="Garamond" w:hAnsi="Garamond" w:cstheme="majorBidi"/>
          <w:sz w:val="24"/>
          <w:szCs w:val="24"/>
        </w:rPr>
      </w:pPr>
      <w:r w:rsidRPr="00060A7D">
        <w:rPr>
          <w:rFonts w:ascii="Garamond" w:eastAsia="Times New Roman" w:hAnsi="Garamond" w:cstheme="majorBidi"/>
          <w:sz w:val="24"/>
          <w:szCs w:val="24"/>
        </w:rPr>
        <w:t>F</w:t>
      </w:r>
      <w:r w:rsidRPr="00060A7D">
        <w:rPr>
          <w:rFonts w:ascii="Garamond" w:hAnsi="Garamond" w:cstheme="majorBidi"/>
          <w:sz w:val="24"/>
          <w:szCs w:val="24"/>
        </w:rPr>
        <w:t xml:space="preserve">azlur Rahman adalah seorang cendekiawan Muslim kontemporer yang mashyur di kalangan akademisi, dikenal juga sebagai salah satu pemikir muslim paling penting di abad ke 20 </w:t>
      </w:r>
      <w:r w:rsidRPr="00060A7D">
        <w:rPr>
          <w:rStyle w:val="FootnoteReference"/>
          <w:rFonts w:ascii="Garamond" w:hAnsi="Garamond" w:cstheme="majorBidi"/>
          <w:sz w:val="24"/>
          <w:szCs w:val="24"/>
        </w:rPr>
        <w:fldChar w:fldCharType="begin" w:fldLock="1"/>
      </w:r>
      <w:r w:rsidRPr="00060A7D">
        <w:rPr>
          <w:rFonts w:ascii="Garamond" w:hAnsi="Garamond" w:cstheme="majorBidi"/>
          <w:sz w:val="24"/>
          <w:szCs w:val="24"/>
        </w:rPr>
        <w:instrText>ADDIN CSL_CITATION {"citationItems":[{"id":"ITEM-1","itemData":{"ISBN":"9783110582284","author":[{"dropping-particle":"","family":"Tamer","given":"Georges","non-dropping-particle":"","parse-names":false,"suffix":""}],"collection-title":"De Gruyter Handbook","id":"ITEM-1","issued":{"date-parts":[["2024"]]},"publisher":"De Gruyter","publisher-place":"Berlin","title":"Volume 4 Qur’anic Hermeneutics in the 19th and 20th Century","type":"book"},"uris":["http://www.mendeley.com/documents/?uuid=a8cfe258-efcd-44a8-95e6-263b4411c46d"]}],"mendeley":{"formattedCitation":"(Tamer, 2024)","plainTextFormattedCitation":"(Tamer, 2024)","previouslyFormattedCitation":"(Tamer, 2024)"},"properties":{"noteIndex":0},"schema":"https://github.com/citation-style-language/schema/raw/master/csl-citation.json"}</w:instrText>
      </w:r>
      <w:r w:rsidRPr="00060A7D">
        <w:rPr>
          <w:rStyle w:val="FootnoteReference"/>
          <w:rFonts w:ascii="Garamond" w:hAnsi="Garamond" w:cstheme="majorBidi"/>
          <w:sz w:val="24"/>
          <w:szCs w:val="24"/>
        </w:rPr>
        <w:fldChar w:fldCharType="separate"/>
      </w:r>
      <w:r w:rsidRPr="00060A7D">
        <w:rPr>
          <w:rFonts w:ascii="Garamond" w:hAnsi="Garamond" w:cstheme="majorBidi"/>
          <w:bCs/>
          <w:noProof/>
          <w:sz w:val="24"/>
          <w:szCs w:val="24"/>
          <w:lang w:val="en-US"/>
        </w:rPr>
        <w:t>(Tamer, 2024)</w:t>
      </w:r>
      <w:r w:rsidRPr="00060A7D">
        <w:rPr>
          <w:rStyle w:val="FootnoteReference"/>
          <w:rFonts w:ascii="Garamond" w:hAnsi="Garamond" w:cstheme="majorBidi"/>
          <w:sz w:val="24"/>
          <w:szCs w:val="24"/>
        </w:rPr>
        <w:fldChar w:fldCharType="end"/>
      </w:r>
      <w:r w:rsidRPr="00060A7D">
        <w:rPr>
          <w:rFonts w:ascii="Garamond" w:hAnsi="Garamond" w:cstheme="majorBidi"/>
          <w:sz w:val="24"/>
          <w:szCs w:val="24"/>
        </w:rPr>
        <w:t xml:space="preserve">. Beliau sudah menunjukkan kontribusi pemikiran yang nyata dalam berbagai bidang keilmuan, diantaranya penafsiran al-Qur’an, hukum Islam, pendidikan Islam, dan politik Islam. Kontribusi yang hingga saat ini menjadi bahasan menarik adalah pengembangan kerangka kerja yang sistematis dan komprehensif untuk menafsirkan konten etik-hukum Al-Qur'an </w:t>
      </w:r>
      <w:r w:rsidRPr="00060A7D">
        <w:rPr>
          <w:rFonts w:ascii="Garamond" w:hAnsi="Garamond" w:cstheme="majorBidi"/>
          <w:sz w:val="24"/>
          <w:szCs w:val="24"/>
        </w:rPr>
        <w:fldChar w:fldCharType="begin" w:fldLock="1"/>
      </w:r>
      <w:r w:rsidRPr="00060A7D">
        <w:rPr>
          <w:rFonts w:ascii="Garamond" w:hAnsi="Garamond" w:cstheme="majorBidi"/>
          <w:sz w:val="24"/>
          <w:szCs w:val="24"/>
        </w:rPr>
        <w:instrText>ADDIN CSL_CITATION {"citationItems":[{"id":"ITEM-1","itemData":{"abstract":"Fazlur Rahman mengembangkan metode tafsir double movement, yang menafsirkan al-Qur’an dengan memahami konteks historis wahyu sebelum menerapkannya pada realitas modern. Metode ini menekankan bahwa nilai moral al-Qur’an bersifat abadi, sementara aturan spesifiknya dapat disesuaikan dengan perkembangan zaman. Rahman mengkritik tafsir klasik yang cenderung atomistik dan kurang sistematis. Penerapan double movement terlihat dalam tafsirnya tentang poligami, di mana ia menilai monogami lebih sesuai dengan nilai keadilan dalam Islam. Metode ini juga digunakan dalam memahami larangan khamr dan judi sebagai bagian dari proses bertahap menuju pembentukan moral. Dengan demikian, double movement menawarkan pendekatan tafsir yang kontekstual dan relevan bagi kehidupan modern. Penelitian ini bertujuan untuk menganalisis secara mendalam metode double movement Fazlur Rahman serta relevansinya dalam konteks tafsir kontemporer. Dengan menggunakan pendekatan deskriptif-analitis, penelitian ini mengeksplorasi bagaimana metode ini dapat menjadi solusi bagi tantangan modern dalam memahami dan menerapkan ajaran al-Qur’an. Hasil penelitian ini diharapkan dapat memberikan wawasan baru bagi akademisi, praktisi tafsir, dan masyarakat luas dalam memahami fleksibilitas hukum Islam tanpa menghilangkan esensi nilai-nilai moral yang terkandung dalam wahyu.","author":[{"dropping-particle":"","family":"Zahwa","given":"Arnida","non-dropping-particle":"","parse-names":false,"suffix":""},{"dropping-particle":"","family":"Saputra","given":"Dimas","non-dropping-particle":"","parse-names":false,"suffix":""},{"dropping-particle":"","family":"Ritonga","given":"Muhammad Juhri","non-dropping-particle":"","parse-names":false,"suffix":""}],"container-title":"Tashdiq: Jurnal Kajian Agama dan Dakwah","id":"ITEM-1","issue":"5","issued":{"date-parts":[["2025"]]},"page":"161-170","title":"Telaah Pemikiran Fazlur Rahman","type":"article-journal","volume":"14"},"uris":["http://www.mendeley.com/documents/?uuid=22a77861-67cd-445b-83ad-122e185c70fd"]}],"mendeley":{"formattedCitation":"(Zahwa et al., 2025)","plainTextFormattedCitation":"(Zahwa et al., 2025)","previouslyFormattedCitation":"(Zahwa et al., 2025)"},"properties":{"noteIndex":0},"schema":"https://github.com/citation-style-language/schema/raw/master/csl-citation.json"}</w:instrText>
      </w:r>
      <w:r w:rsidRPr="00060A7D">
        <w:rPr>
          <w:rFonts w:ascii="Garamond" w:hAnsi="Garamond" w:cstheme="majorBidi"/>
          <w:sz w:val="24"/>
          <w:szCs w:val="24"/>
        </w:rPr>
        <w:fldChar w:fldCharType="separate"/>
      </w:r>
      <w:r w:rsidRPr="00060A7D">
        <w:rPr>
          <w:rFonts w:ascii="Garamond" w:hAnsi="Garamond" w:cstheme="majorBidi"/>
          <w:noProof/>
          <w:sz w:val="24"/>
          <w:szCs w:val="24"/>
        </w:rPr>
        <w:t>(Zahwa et al., 2025)</w:t>
      </w:r>
      <w:r w:rsidRPr="00060A7D">
        <w:rPr>
          <w:rFonts w:ascii="Garamond" w:hAnsi="Garamond" w:cstheme="majorBidi"/>
          <w:sz w:val="24"/>
          <w:szCs w:val="24"/>
        </w:rPr>
        <w:fldChar w:fldCharType="end"/>
      </w:r>
      <w:r w:rsidRPr="00060A7D">
        <w:rPr>
          <w:rFonts w:ascii="Garamond" w:hAnsi="Garamond" w:cstheme="majorBidi"/>
          <w:sz w:val="24"/>
          <w:szCs w:val="24"/>
        </w:rPr>
        <w:t xml:space="preserve">. Dalam konteks ini, latar belakang pemikiran Fazlur Rahman menjadi sangat relevan, karena pendekatan dan metodologi yang beliau gunakan membuka jalan bagi pemahaman yang lebih mendalam tentang nilai-nilai moral dan prinsip-prinsip hukum yang terdapat dalam Al-Qur’an pada masalah kontemporer </w:t>
      </w:r>
      <w:r w:rsidRPr="00060A7D">
        <w:rPr>
          <w:rStyle w:val="FootnoteReference"/>
          <w:rFonts w:ascii="Garamond" w:hAnsi="Garamond" w:cstheme="majorBidi"/>
          <w:sz w:val="24"/>
          <w:szCs w:val="24"/>
        </w:rPr>
        <w:fldChar w:fldCharType="begin" w:fldLock="1"/>
      </w:r>
      <w:r w:rsidRPr="00060A7D">
        <w:rPr>
          <w:rFonts w:ascii="Garamond" w:hAnsi="Garamond" w:cstheme="majorBidi"/>
          <w:sz w:val="24"/>
          <w:szCs w:val="24"/>
        </w:rPr>
        <w:instrText>ADDIN CSL_CITATION {"citationItems":[{"id":"ITEM-1","itemData":{"author":[{"dropping-particle":"","family":"Isnaini Fauziatun Nisya","given":"","non-dropping-particle":"","parse-names":false,"suffix":""}],"container-title":"Qurthuba: The Journal of History and Islamic Civilization","id":"ITEM-1","issue":"1","issued":{"date-parts":[["2019"]]},"page":"1-20","title":"Fazlur Rahman sebagai Tokoh Pembaharu Islam 1919–1988 M","type":"article-journal","volume":"3"},"uris":["http://www.mendeley.com/documents/?uuid=e4de1814-2afc-40bb-b95e-99a8be4134b9"]}],"mendeley":{"formattedCitation":"(Isnaini Fauziatun Nisya, 2019)","plainTextFormattedCitation":"(Isnaini Fauziatun Nisya, 2019)","previouslyFormattedCitation":"(Isnaini Fauziatun Nisya, 2019)"},"properties":{"noteIndex":0},"schema":"https://github.com/citation-style-language/schema/raw/master/csl-citation.json"}</w:instrText>
      </w:r>
      <w:r w:rsidRPr="00060A7D">
        <w:rPr>
          <w:rStyle w:val="FootnoteReference"/>
          <w:rFonts w:ascii="Garamond" w:hAnsi="Garamond" w:cstheme="majorBidi"/>
          <w:sz w:val="24"/>
          <w:szCs w:val="24"/>
        </w:rPr>
        <w:fldChar w:fldCharType="separate"/>
      </w:r>
      <w:r w:rsidRPr="00060A7D">
        <w:rPr>
          <w:rFonts w:ascii="Garamond" w:hAnsi="Garamond" w:cstheme="majorBidi"/>
          <w:bCs/>
          <w:noProof/>
          <w:sz w:val="24"/>
          <w:szCs w:val="24"/>
        </w:rPr>
        <w:t>(Isnaini Fauziatun Nisya, 2019)</w:t>
      </w:r>
      <w:r w:rsidRPr="00060A7D">
        <w:rPr>
          <w:rStyle w:val="FootnoteReference"/>
          <w:rFonts w:ascii="Garamond" w:hAnsi="Garamond" w:cstheme="majorBidi"/>
          <w:sz w:val="24"/>
          <w:szCs w:val="24"/>
        </w:rPr>
        <w:fldChar w:fldCharType="end"/>
      </w:r>
      <w:r w:rsidRPr="00060A7D">
        <w:rPr>
          <w:rFonts w:ascii="Garamond" w:hAnsi="Garamond" w:cstheme="majorBidi"/>
          <w:sz w:val="24"/>
          <w:szCs w:val="24"/>
        </w:rPr>
        <w:t>.</w:t>
      </w:r>
    </w:p>
    <w:p w14:paraId="7CD0D5C5" w14:textId="27797A87" w:rsidR="00773A32" w:rsidRPr="00060A7D" w:rsidRDefault="00060A7D" w:rsidP="00060A7D">
      <w:pPr>
        <w:spacing w:after="0" w:line="360" w:lineRule="auto"/>
        <w:ind w:left="-2" w:firstLineChars="355" w:firstLine="852"/>
        <w:jc w:val="both"/>
        <w:rPr>
          <w:rFonts w:ascii="Garamond" w:hAnsi="Garamond" w:cstheme="majorBidi"/>
          <w:sz w:val="24"/>
          <w:szCs w:val="24"/>
        </w:rPr>
      </w:pPr>
      <w:r w:rsidRPr="00060A7D">
        <w:rPr>
          <w:rFonts w:ascii="Garamond" w:hAnsi="Garamond"/>
          <w:noProof/>
          <w:sz w:val="24"/>
          <w:szCs w:val="24"/>
          <w:lang w:val="en-US" w:eastAsia="en-US"/>
        </w:rPr>
        <w:lastRenderedPageBreak/>
        <w:drawing>
          <wp:anchor distT="0" distB="0" distL="114300" distR="114300" simplePos="0" relativeHeight="251658240" behindDoc="1" locked="0" layoutInCell="1" allowOverlap="1" wp14:anchorId="5CC39729" wp14:editId="4667C404">
            <wp:simplePos x="0" y="0"/>
            <wp:positionH relativeFrom="column">
              <wp:posOffset>-5080</wp:posOffset>
            </wp:positionH>
            <wp:positionV relativeFrom="paragraph">
              <wp:posOffset>0</wp:posOffset>
            </wp:positionV>
            <wp:extent cx="2531745" cy="4109720"/>
            <wp:effectExtent l="0" t="0" r="0" b="5080"/>
            <wp:wrapTight wrapText="bothSides">
              <wp:wrapPolygon edited="0">
                <wp:start x="0" y="0"/>
                <wp:lineTo x="0" y="21560"/>
                <wp:lineTo x="21454" y="21560"/>
                <wp:lineTo x="21454" y="0"/>
                <wp:lineTo x="0" y="0"/>
              </wp:wrapPolygon>
            </wp:wrapTight>
            <wp:docPr id="8667005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31745" cy="4109720"/>
                    </a:xfrm>
                    <a:prstGeom prst="rect">
                      <a:avLst/>
                    </a:prstGeom>
                    <a:noFill/>
                    <a:ln>
                      <a:noFill/>
                    </a:ln>
                  </pic:spPr>
                </pic:pic>
              </a:graphicData>
            </a:graphic>
            <wp14:sizeRelH relativeFrom="page">
              <wp14:pctWidth>0</wp14:pctWidth>
            </wp14:sizeRelH>
            <wp14:sizeRelV relativeFrom="page">
              <wp14:pctHeight>0</wp14:pctHeight>
            </wp14:sizeRelV>
          </wp:anchor>
        </w:drawing>
      </w:r>
      <w:r w:rsidR="00773A32" w:rsidRPr="00060A7D">
        <w:rPr>
          <w:rFonts w:ascii="Garamond" w:hAnsi="Garamond" w:cstheme="majorBidi"/>
          <w:sz w:val="24"/>
          <w:szCs w:val="24"/>
        </w:rPr>
        <w:t xml:space="preserve">Tokoh sentral yang menjadi poros kajian dalam penelitian ini selain Fazlur Rahman, adalah cendekiawan asal Maldives yang merupakan seorang keturunan Arab Oman kelahiran 1964 silam, dia adalah Abdullah Saeed </w:t>
      </w:r>
      <w:r w:rsidR="00773A32" w:rsidRPr="00060A7D">
        <w:rPr>
          <w:rStyle w:val="FootnoteReference"/>
          <w:rFonts w:ascii="Garamond" w:hAnsi="Garamond" w:cstheme="majorBidi"/>
          <w:sz w:val="24"/>
          <w:szCs w:val="24"/>
        </w:rPr>
        <w:fldChar w:fldCharType="begin" w:fldLock="1"/>
      </w:r>
      <w:r w:rsidR="00773A32" w:rsidRPr="00060A7D">
        <w:rPr>
          <w:rFonts w:ascii="Garamond" w:hAnsi="Garamond" w:cstheme="majorBidi"/>
          <w:sz w:val="24"/>
          <w:szCs w:val="24"/>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approach.","author":[{"dropping-particle":"","family":"Dr. Vladimir","given":"Vega Falcon","non-dropping-particle":"","parse-names":false,"suffix":""}],"container-title":"Gastronomía ecuatoriana y turismo local.","id":"ITEM-1","issue":"69","issued":{"date-parts":[["1967"]]},"page":"5-24","title":"Biografi Intelektual Abdullah Saeed a.","type":"article-journal","volume":"1"},"uris":["http://www.mendeley.com/documents/?uuid=79b01767-7a6f-47d6-a7d4-52cf1baaab62"]}],"mendeley":{"formattedCitation":"(Dr. Vladimir, 1967)","plainTextFormattedCitation":"(Dr. Vladimir, 1967)","previouslyFormattedCitation":"(Dr. Vladimir, 1967)"},"properties":{"noteIndex":0},"schema":"https://github.com/citation-style-language/schema/raw/master/csl-citation.json"}</w:instrText>
      </w:r>
      <w:r w:rsidR="00773A32" w:rsidRPr="00060A7D">
        <w:rPr>
          <w:rStyle w:val="FootnoteReference"/>
          <w:rFonts w:ascii="Garamond" w:hAnsi="Garamond" w:cstheme="majorBidi"/>
          <w:sz w:val="24"/>
          <w:szCs w:val="24"/>
        </w:rPr>
        <w:fldChar w:fldCharType="separate"/>
      </w:r>
      <w:r w:rsidR="00773A32" w:rsidRPr="00060A7D">
        <w:rPr>
          <w:rFonts w:ascii="Garamond" w:hAnsi="Garamond" w:cstheme="majorBidi"/>
          <w:bCs/>
          <w:noProof/>
          <w:sz w:val="24"/>
          <w:szCs w:val="24"/>
          <w:lang w:val="en-US"/>
        </w:rPr>
        <w:t>(Dr. Vladimir, 1967)</w:t>
      </w:r>
      <w:r w:rsidR="00773A32" w:rsidRPr="00060A7D">
        <w:rPr>
          <w:rStyle w:val="FootnoteReference"/>
          <w:rFonts w:ascii="Garamond" w:hAnsi="Garamond" w:cstheme="majorBidi"/>
          <w:sz w:val="24"/>
          <w:szCs w:val="24"/>
        </w:rPr>
        <w:fldChar w:fldCharType="end"/>
      </w:r>
      <w:r w:rsidR="00773A32" w:rsidRPr="00060A7D">
        <w:rPr>
          <w:rFonts w:ascii="Garamond" w:hAnsi="Garamond" w:cstheme="majorBidi"/>
          <w:sz w:val="24"/>
          <w:szCs w:val="24"/>
        </w:rPr>
        <w:t>. Saeed adalah seorang muslim cerdas penggagas hermeneutika kontekstual Al-Qur’an, dan konsep ethic-legal yang pada topik ini akan menjadi titik landasan dalam membahas kerangka kerja pemikiran Fazlur Rahman untuk menafsirkan kandungan etik-hukum Al-Qur'an.</w:t>
      </w:r>
    </w:p>
    <w:p w14:paraId="72A5E172" w14:textId="77777777" w:rsidR="00773A32" w:rsidRPr="00060A7D" w:rsidRDefault="00773A32" w:rsidP="00060A7D">
      <w:pPr>
        <w:spacing w:after="0" w:line="360" w:lineRule="auto"/>
        <w:ind w:left="-2" w:firstLineChars="355" w:firstLine="852"/>
        <w:jc w:val="both"/>
        <w:rPr>
          <w:rFonts w:ascii="Garamond" w:hAnsi="Garamond" w:cstheme="majorBidi"/>
          <w:sz w:val="24"/>
          <w:szCs w:val="24"/>
        </w:rPr>
      </w:pPr>
      <w:r w:rsidRPr="00060A7D">
        <w:rPr>
          <w:rFonts w:ascii="Garamond" w:hAnsi="Garamond" w:cstheme="majorBidi"/>
          <w:sz w:val="24"/>
          <w:szCs w:val="24"/>
          <w:shd w:val="clear" w:color="auto" w:fill="FFFFFF"/>
        </w:rPr>
        <w:t xml:space="preserve">Menarik untuk dibahas, pada hasil kesimpulan tulisan Abdullah Saeed tentang cara dia memberikan penilaian atas kontribusi Fazlur Rahman, diterangkan bahwa </w:t>
      </w:r>
      <w:r w:rsidRPr="00060A7D">
        <w:rPr>
          <w:rFonts w:ascii="Garamond" w:hAnsi="Garamond" w:cstheme="majorBidi"/>
          <w:sz w:val="24"/>
          <w:szCs w:val="24"/>
        </w:rPr>
        <w:t xml:space="preserve">Rahman memberikan kontribusi besar dengan menekankan sesuatu yang sebelumnya terabaikan dalam penafsiran Al-Qur'an, dan dengan memberikan panduan yang jelas tentang bagaimana mencapainya </w:t>
      </w:r>
      <w:r w:rsidRPr="00060A7D">
        <w:rPr>
          <w:rStyle w:val="FootnoteReference"/>
          <w:rFonts w:ascii="Garamond" w:hAnsi="Garamond" w:cstheme="majorBidi"/>
          <w:sz w:val="24"/>
          <w:szCs w:val="24"/>
        </w:rPr>
        <w:fldChar w:fldCharType="begin" w:fldLock="1"/>
      </w:r>
      <w:r w:rsidRPr="00060A7D">
        <w:rPr>
          <w:rFonts w:ascii="Garamond" w:hAnsi="Garamond" w:cstheme="majorBidi"/>
          <w:sz w:val="24"/>
          <w:szCs w:val="24"/>
        </w:rPr>
        <w:instrText>ADDIN CSL_CITATION {"citationItems":[{"id":"ITEM-1","itemData":{"ISBN":"9780197200032","author":[{"dropping-particle":"","family":"Taji-Farouki","given":"S","non-dropping-particle":"","parse-names":false,"suffix":""},{"dropping-particle":"","family":"Studies","given":"Institute of Ismaili","non-dropping-particle":"","parse-names":false,"suffix":""}],"collection-title":"Qur'anic Studies Series","id":"ITEM-1","issued":{"date-parts":[["2006"]]},"publisher":"OUP","title":"Modern Muslim Intellectuals and the Qur'an","type":"book"},"uris":["http://www.mendeley.com/documents/?uuid=1ba128a5-5eaa-48fe-b9b7-4aeec7fbd142"]}],"mendeley":{"formattedCitation":"(Taji-Farouki &amp; Studies, 2006)","plainTextFormattedCitation":"(Taji-Farouki &amp; Studies, 2006)","previouslyFormattedCitation":"(Taji-Farouki &amp; Studies, 2006)"},"properties":{"noteIndex":0},"schema":"https://github.com/citation-style-language/schema/raw/master/csl-citation.json"}</w:instrText>
      </w:r>
      <w:r w:rsidRPr="00060A7D">
        <w:rPr>
          <w:rStyle w:val="FootnoteReference"/>
          <w:rFonts w:ascii="Garamond" w:hAnsi="Garamond" w:cstheme="majorBidi"/>
          <w:sz w:val="24"/>
          <w:szCs w:val="24"/>
        </w:rPr>
        <w:fldChar w:fldCharType="separate"/>
      </w:r>
      <w:r w:rsidRPr="00060A7D">
        <w:rPr>
          <w:rFonts w:ascii="Garamond" w:hAnsi="Garamond" w:cstheme="majorBidi"/>
          <w:noProof/>
          <w:sz w:val="24"/>
          <w:szCs w:val="24"/>
        </w:rPr>
        <w:t>(Taji-Farouki &amp; Studies, 2006)</w:t>
      </w:r>
      <w:r w:rsidRPr="00060A7D">
        <w:rPr>
          <w:rStyle w:val="FootnoteReference"/>
          <w:rFonts w:ascii="Garamond" w:hAnsi="Garamond" w:cstheme="majorBidi"/>
          <w:sz w:val="24"/>
          <w:szCs w:val="24"/>
        </w:rPr>
        <w:fldChar w:fldCharType="end"/>
      </w:r>
      <w:r w:rsidRPr="00060A7D">
        <w:rPr>
          <w:rFonts w:ascii="Garamond" w:hAnsi="Garamond" w:cstheme="majorBidi"/>
          <w:sz w:val="24"/>
          <w:szCs w:val="24"/>
        </w:rPr>
        <w:t xml:space="preserve">. Tulisan ini merupakan hasil refleksi Abdullah Saeed sebagai penggagas konsep </w:t>
      </w:r>
      <w:r w:rsidRPr="00060A7D">
        <w:rPr>
          <w:rFonts w:ascii="Garamond" w:hAnsi="Garamond" w:cstheme="majorBidi"/>
          <w:i/>
          <w:iCs/>
          <w:sz w:val="24"/>
          <w:szCs w:val="24"/>
        </w:rPr>
        <w:t>ethico legal</w:t>
      </w:r>
      <w:r w:rsidRPr="00060A7D">
        <w:rPr>
          <w:rFonts w:ascii="Garamond" w:hAnsi="Garamond" w:cstheme="majorBidi"/>
          <w:sz w:val="24"/>
          <w:szCs w:val="24"/>
        </w:rPr>
        <w:t xml:space="preserve"> terhadap kerangka berpikir Fazlur Rahman dalam menafsirkan ayat-ayat yang mengandung etik hukum </w:t>
      </w:r>
      <w:r w:rsidRPr="00060A7D">
        <w:rPr>
          <w:rFonts w:ascii="Garamond" w:hAnsi="Garamond" w:cstheme="majorBidi"/>
          <w:sz w:val="24"/>
          <w:szCs w:val="24"/>
        </w:rPr>
        <w:fldChar w:fldCharType="begin" w:fldLock="1"/>
      </w:r>
      <w:r w:rsidRPr="00060A7D">
        <w:rPr>
          <w:rFonts w:ascii="Garamond" w:hAnsi="Garamond" w:cstheme="majorBidi"/>
          <w:sz w:val="24"/>
          <w:szCs w:val="24"/>
        </w:rPr>
        <w:instrText xml:space="preserve">ADDIN CSL_CITATION {"citationItems":[{"id":"ITEM-1","itemData":{"DOI":"https://doi.org/10.1163/9789004438354","ISBN":"978-90-04-43835-4","author":[{"dropping-particle":"","family":"Hashas","given":"Mohammed","non-dropping-particle":"","parse-names":false,"suffix":""},{"dropping-particle":"","family":"al-Khatib","given":"Mutaz","non-dropping-particle":"","parse-names":false,"suffix":""}],"id":"ITEM-1","issued":{"date-parts":[["2020"]]},"language":"English","publisher":"Brill","publisher-place":"Leiden, The Netherlands","title":"Islamic Ethics and the Trusteeship Paradigm: Taha Abderrahmane’s Philosophy in Comparative Perspectives: </w:instrText>
      </w:r>
      <w:r w:rsidRPr="00060A7D">
        <w:rPr>
          <w:rFonts w:ascii="Garamond" w:hAnsi="Garamond" w:cstheme="majorBidi"/>
          <w:sz w:val="24"/>
          <w:szCs w:val="24"/>
          <w:rtl/>
        </w:rPr>
        <w:instrText>الأخلاق الإسلامية ونسق الائتمانية: مقاربات في فلسفة طه عبد الرحمن</w:instrText>
      </w:r>
      <w:r w:rsidRPr="00060A7D">
        <w:rPr>
          <w:rFonts w:ascii="Garamond" w:hAnsi="Garamond" w:cstheme="majorBidi"/>
          <w:sz w:val="24"/>
          <w:szCs w:val="24"/>
        </w:rPr>
        <w:instrText>","type":"book"},"uris":["http://www.mendeley.com/documents/?uuid=de1a4505-417f-469f-ba5e-e7b8156f5c33"]}],"mendeley":{"formattedCitation":"(Hashas &amp; al-Khatib, 2020)","plainTextFormattedCitation":"(Hashas &amp; al-Khatib, 2020)","previouslyFormattedCitation":"(Hashas &amp; al-Khatib, 2020)"},"properties":{"noteIndex":0},"schema":"https://github.com/citation-style-language/schema/raw/master/csl-citation.json"}</w:instrText>
      </w:r>
      <w:r w:rsidRPr="00060A7D">
        <w:rPr>
          <w:rFonts w:ascii="Garamond" w:hAnsi="Garamond" w:cstheme="majorBidi"/>
          <w:sz w:val="24"/>
          <w:szCs w:val="24"/>
        </w:rPr>
        <w:fldChar w:fldCharType="separate"/>
      </w:r>
      <w:r w:rsidRPr="00060A7D">
        <w:rPr>
          <w:rFonts w:ascii="Garamond" w:hAnsi="Garamond" w:cstheme="majorBidi"/>
          <w:noProof/>
          <w:sz w:val="24"/>
          <w:szCs w:val="24"/>
        </w:rPr>
        <w:t>(Hashas &amp; al-Khatib, 2020)</w:t>
      </w:r>
      <w:r w:rsidRPr="00060A7D">
        <w:rPr>
          <w:rFonts w:ascii="Garamond" w:hAnsi="Garamond" w:cstheme="majorBidi"/>
          <w:sz w:val="24"/>
          <w:szCs w:val="24"/>
        </w:rPr>
        <w:fldChar w:fldCharType="end"/>
      </w:r>
      <w:r w:rsidRPr="00060A7D">
        <w:rPr>
          <w:rFonts w:ascii="Garamond" w:hAnsi="Garamond" w:cstheme="majorBidi"/>
          <w:sz w:val="24"/>
          <w:szCs w:val="24"/>
        </w:rPr>
        <w:t>.</w:t>
      </w:r>
    </w:p>
    <w:p w14:paraId="3278E782" w14:textId="4469A739" w:rsidR="00773A32" w:rsidRPr="00060A7D" w:rsidRDefault="00773A32" w:rsidP="00060A7D">
      <w:pPr>
        <w:spacing w:after="0" w:line="360" w:lineRule="auto"/>
        <w:ind w:left="-2" w:firstLineChars="355" w:firstLine="852"/>
        <w:jc w:val="both"/>
        <w:rPr>
          <w:rFonts w:ascii="Garamond" w:hAnsi="Garamond" w:cstheme="majorBidi"/>
          <w:sz w:val="24"/>
          <w:szCs w:val="24"/>
        </w:rPr>
      </w:pPr>
      <w:r w:rsidRPr="00060A7D">
        <w:rPr>
          <w:rFonts w:ascii="Garamond" w:hAnsi="Garamond" w:cstheme="majorBidi"/>
          <w:sz w:val="24"/>
          <w:szCs w:val="24"/>
        </w:rPr>
        <w:t xml:space="preserve">Buku berjudul </w:t>
      </w:r>
      <w:r w:rsidRPr="00060A7D">
        <w:rPr>
          <w:rFonts w:ascii="Garamond" w:hAnsi="Garamond" w:cstheme="majorBidi"/>
          <w:i/>
          <w:iCs/>
          <w:sz w:val="24"/>
          <w:szCs w:val="24"/>
        </w:rPr>
        <w:t>Modern Muslim Intellectuals and The Qur’an</w:t>
      </w:r>
      <w:r w:rsidRPr="00060A7D">
        <w:rPr>
          <w:rFonts w:ascii="Garamond" w:hAnsi="Garamond" w:cstheme="majorBidi"/>
          <w:sz w:val="24"/>
          <w:szCs w:val="24"/>
        </w:rPr>
        <w:t xml:space="preserve"> </w:t>
      </w:r>
      <w:r w:rsidRPr="00060A7D">
        <w:rPr>
          <w:rStyle w:val="FootnoteReference"/>
          <w:rFonts w:ascii="Garamond" w:hAnsi="Garamond" w:cstheme="majorBidi"/>
          <w:sz w:val="24"/>
          <w:szCs w:val="24"/>
        </w:rPr>
        <w:fldChar w:fldCharType="begin" w:fldLock="1"/>
      </w:r>
      <w:r w:rsidRPr="00060A7D">
        <w:rPr>
          <w:rFonts w:ascii="Garamond" w:hAnsi="Garamond" w:cstheme="majorBidi"/>
          <w:sz w:val="24"/>
          <w:szCs w:val="24"/>
        </w:rPr>
        <w:instrText>ADDIN CSL_CITATION {"citationItems":[{"id":"ITEM-1","itemData":{"ISBN":"9780197200032","author":[{"dropping-particle":"","family":"Taji-Farouki","given":"S","non-dropping-particle":"","parse-names":false,"suffix":""},{"dropping-particle":"","family":"Studies","given":"Institute of Ismaili","non-dropping-particle":"","parse-names":false,"suffix":""}],"collection-title":"Qur'anic Studies Series","id":"ITEM-1","issued":{"date-parts":[["2006"]]},"publisher":"OUP","title":"Modern Muslim Intellectuals and the Qur'an","type":"book"},"uris":["http://www.mendeley.com/documents/?uuid=1ba128a5-5eaa-48fe-b9b7-4aeec7fbd142"]}],"mendeley":{"formattedCitation":"(Taji-Farouki &amp; Studies, 2006)","plainTextFormattedCitation":"(Taji-Farouki &amp; Studies, 2006)","previouslyFormattedCitation":"(Taji-Farouki &amp; Studies, 2006)"},"properties":{"noteIndex":0},"schema":"https://github.com/citation-style-language/schema/raw/master/csl-citation.json"}</w:instrText>
      </w:r>
      <w:r w:rsidRPr="00060A7D">
        <w:rPr>
          <w:rStyle w:val="FootnoteReference"/>
          <w:rFonts w:ascii="Garamond" w:hAnsi="Garamond" w:cstheme="majorBidi"/>
          <w:sz w:val="24"/>
          <w:szCs w:val="24"/>
        </w:rPr>
        <w:fldChar w:fldCharType="separate"/>
      </w:r>
      <w:r w:rsidRPr="00060A7D">
        <w:rPr>
          <w:rFonts w:ascii="Garamond" w:hAnsi="Garamond" w:cstheme="majorBidi"/>
          <w:noProof/>
          <w:sz w:val="24"/>
          <w:szCs w:val="24"/>
        </w:rPr>
        <w:t>(Taji-Farouki &amp; Studies, 2006)</w:t>
      </w:r>
      <w:r w:rsidRPr="00060A7D">
        <w:rPr>
          <w:rStyle w:val="FootnoteReference"/>
          <w:rFonts w:ascii="Garamond" w:hAnsi="Garamond" w:cstheme="majorBidi"/>
          <w:sz w:val="24"/>
          <w:szCs w:val="24"/>
        </w:rPr>
        <w:fldChar w:fldCharType="end"/>
      </w:r>
      <w:r w:rsidRPr="00060A7D">
        <w:rPr>
          <w:rFonts w:ascii="Garamond" w:hAnsi="Garamond" w:cstheme="majorBidi"/>
          <w:sz w:val="24"/>
          <w:szCs w:val="24"/>
        </w:rPr>
        <w:t xml:space="preserve"> yang memuat tulisan Abdullah saeed ini merupakan sebuah ontologi karya tulis dari sepuluh cendekiawan muslim dunia dan barat. Buku ini diterbitkan oleh Oxford University Press, pertama kali dipublikasikan pada tahun 2004 dan terbit kembali pada 2006. Buku ini berjumlah 342 halaman dengan fokus pembahasan yang beragam dari berbagai macam pemikiran cendekiawan muslim. Pada sub bab yang dikaji oleh penulis, jumlah kata termuat pada topik pemikiran Fazlur Rahman berjumlah 30 halaman. </w:t>
      </w:r>
    </w:p>
    <w:p w14:paraId="4F394CDA" w14:textId="77777777" w:rsidR="00F113E2" w:rsidRPr="00060A7D" w:rsidRDefault="00F113E2" w:rsidP="00060A7D">
      <w:pPr>
        <w:spacing w:after="0" w:line="360" w:lineRule="auto"/>
        <w:ind w:hanging="2"/>
        <w:jc w:val="both"/>
        <w:rPr>
          <w:rFonts w:ascii="Garamond" w:hAnsi="Garamond" w:cstheme="majorBidi"/>
          <w:b/>
          <w:bCs/>
          <w:sz w:val="24"/>
          <w:szCs w:val="24"/>
        </w:rPr>
      </w:pPr>
      <w:r w:rsidRPr="00060A7D">
        <w:rPr>
          <w:rFonts w:ascii="Garamond" w:hAnsi="Garamond" w:cstheme="majorBidi"/>
          <w:b/>
          <w:bCs/>
          <w:sz w:val="24"/>
          <w:szCs w:val="24"/>
        </w:rPr>
        <w:t>Pemikiran Fazlur Rahman dalam Penafsiran Etika Hukum Al-Qur’an</w:t>
      </w:r>
    </w:p>
    <w:p w14:paraId="35073F0A" w14:textId="024A23EB" w:rsidR="00F113E2" w:rsidRPr="00060A7D" w:rsidRDefault="00F113E2" w:rsidP="00060A7D">
      <w:pPr>
        <w:spacing w:after="0" w:line="360" w:lineRule="auto"/>
        <w:ind w:firstLine="567"/>
        <w:jc w:val="both"/>
        <w:rPr>
          <w:rFonts w:ascii="Garamond" w:hAnsi="Garamond" w:cstheme="majorBidi"/>
          <w:b/>
          <w:bCs/>
          <w:sz w:val="24"/>
          <w:szCs w:val="24"/>
        </w:rPr>
      </w:pPr>
      <w:r w:rsidRPr="00060A7D">
        <w:rPr>
          <w:rFonts w:ascii="Garamond" w:hAnsi="Garamond" w:cstheme="majorBidi"/>
          <w:color w:val="000000" w:themeColor="text1"/>
          <w:sz w:val="24"/>
          <w:szCs w:val="24"/>
        </w:rPr>
        <w:t xml:space="preserve">Fazlur Rahman, seorang intelektual Muslim kontemporer, mengusulkan sebuah metodologi baru dalam menginterpretasikan Al-Qur'an. Dengan pendekatan ini, Al-Qur'an dianggap menjadi lebih rasional, sistematis, dan komprehensif. Tujuannya adalah agar Al-Qur'an tetap relevan untuk semua zaman dan tempat tanpa kehilangan normativitasnya. </w:t>
      </w:r>
      <w:r w:rsidR="00060A7D" w:rsidRPr="00060A7D">
        <w:rPr>
          <w:rFonts w:ascii="Garamond" w:hAnsi="Garamond"/>
          <w:noProof/>
          <w:sz w:val="24"/>
          <w:szCs w:val="24"/>
          <w:lang w:val="en-US" w:eastAsia="en-US"/>
        </w:rPr>
        <w:lastRenderedPageBreak/>
        <w:drawing>
          <wp:anchor distT="0" distB="0" distL="114300" distR="114300" simplePos="0" relativeHeight="251659264" behindDoc="1" locked="0" layoutInCell="1" allowOverlap="1" wp14:anchorId="28260F17" wp14:editId="36535B4E">
            <wp:simplePos x="0" y="0"/>
            <wp:positionH relativeFrom="column">
              <wp:posOffset>14605</wp:posOffset>
            </wp:positionH>
            <wp:positionV relativeFrom="paragraph">
              <wp:posOffset>55245</wp:posOffset>
            </wp:positionV>
            <wp:extent cx="1768475" cy="2851785"/>
            <wp:effectExtent l="0" t="0" r="0" b="5715"/>
            <wp:wrapTight wrapText="bothSides">
              <wp:wrapPolygon edited="0">
                <wp:start x="0" y="0"/>
                <wp:lineTo x="0" y="21547"/>
                <wp:lineTo x="21406" y="21547"/>
                <wp:lineTo x="21406" y="0"/>
                <wp:lineTo x="0" y="0"/>
              </wp:wrapPolygon>
            </wp:wrapTight>
            <wp:docPr id="15163672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68475" cy="2851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A7D">
        <w:rPr>
          <w:rFonts w:ascii="Garamond" w:hAnsi="Garamond" w:cstheme="majorBidi"/>
          <w:color w:val="000000" w:themeColor="text1"/>
          <w:sz w:val="24"/>
          <w:szCs w:val="24"/>
        </w:rPr>
        <w:t>Metodologi ini merupakan upaya untuk membuat Al-Qur'an dapat memberikan jawaban terhadap tantangan-tantangan modern dan dapat menyesuaikan diri dengan perubahan dan perkembangan zaman</w:t>
      </w:r>
      <w:r w:rsidR="00C87944" w:rsidRPr="00060A7D">
        <w:rPr>
          <w:rFonts w:ascii="Garamond" w:hAnsi="Garamond" w:cstheme="majorBidi"/>
          <w:color w:val="000000" w:themeColor="text1"/>
          <w:sz w:val="24"/>
          <w:szCs w:val="24"/>
        </w:rPr>
        <w:t xml:space="preserve"> </w:t>
      </w:r>
      <w:r w:rsidR="00E55D3B" w:rsidRPr="00060A7D">
        <w:rPr>
          <w:rStyle w:val="FootnoteReference"/>
          <w:rFonts w:ascii="Garamond" w:hAnsi="Garamond" w:cstheme="majorBidi"/>
          <w:sz w:val="24"/>
          <w:szCs w:val="24"/>
        </w:rPr>
        <w:fldChar w:fldCharType="begin" w:fldLock="1"/>
      </w:r>
      <w:r w:rsidR="00CA47EB" w:rsidRPr="00060A7D">
        <w:rPr>
          <w:rFonts w:ascii="Garamond" w:hAnsi="Garamond" w:cstheme="majorBidi"/>
          <w:sz w:val="24"/>
          <w:szCs w:val="24"/>
        </w:rPr>
        <w:instrText>ADDIN CSL_CITATION {"citationItems":[{"id":"ITEM-1","itemData":{"abstract":"Sejarah penafsiran dan metodologi tafsir al-Qur’an telah melewati berbagai fase yang panjang, rumit dan kompleks. Awalnya, penafsiran merupakan usaha menemukan maksud yang …","author":[{"dropping-particle":"","family":"Samsir","given":"Samsir","non-dropping-particle":"","parse-names":false,"suffix":""}],"container-title":"Tafasir","id":"ITEM-1","issue":"1","issued":{"date-parts":[["2023"]]},"page":"45-55","title":"Studi Metodologi Tafsir Fazlur Rahman","type":"article-journal","volume":"1"},"uris":["http://www.mendeley.com/documents/?uuid=d92467bb-cf35-44ec-bb26-06a54dde2cec"]}],"mendeley":{"formattedCitation":"(Samsir, 2023)","plainTextFormattedCitation":"(Samsir, 2023)","previouslyFormattedCitation":"(Samsir, 2023)"},"properties":{"noteIndex":0},"schema":"https://github.com/citation-style-language/schema/raw/master/csl-citation.json"}</w:instrText>
      </w:r>
      <w:r w:rsidR="00E55D3B" w:rsidRPr="00060A7D">
        <w:rPr>
          <w:rStyle w:val="FootnoteReference"/>
          <w:rFonts w:ascii="Garamond" w:hAnsi="Garamond" w:cstheme="majorBidi"/>
          <w:sz w:val="24"/>
          <w:szCs w:val="24"/>
        </w:rPr>
        <w:fldChar w:fldCharType="separate"/>
      </w:r>
      <w:r w:rsidR="00CA47EB" w:rsidRPr="00060A7D">
        <w:rPr>
          <w:rFonts w:ascii="Garamond" w:hAnsi="Garamond" w:cstheme="majorBidi"/>
          <w:bCs/>
          <w:noProof/>
          <w:sz w:val="24"/>
          <w:szCs w:val="24"/>
          <w:lang w:val="en-US"/>
        </w:rPr>
        <w:t>(Samsir, 2023)</w:t>
      </w:r>
      <w:r w:rsidR="00E55D3B" w:rsidRPr="00060A7D">
        <w:rPr>
          <w:rStyle w:val="FootnoteReference"/>
          <w:rFonts w:ascii="Garamond" w:hAnsi="Garamond" w:cstheme="majorBidi"/>
          <w:sz w:val="24"/>
          <w:szCs w:val="24"/>
        </w:rPr>
        <w:fldChar w:fldCharType="end"/>
      </w:r>
      <w:r w:rsidR="00C87944" w:rsidRPr="00060A7D">
        <w:rPr>
          <w:rFonts w:ascii="Garamond" w:hAnsi="Garamond" w:cstheme="majorBidi"/>
          <w:sz w:val="24"/>
          <w:szCs w:val="24"/>
        </w:rPr>
        <w:t>.</w:t>
      </w:r>
    </w:p>
    <w:p w14:paraId="720A28B0" w14:textId="4E3A23BA" w:rsidR="00F113E2" w:rsidRPr="00060A7D" w:rsidRDefault="00F113E2" w:rsidP="00060A7D">
      <w:pPr>
        <w:spacing w:after="0" w:line="360" w:lineRule="auto"/>
        <w:ind w:left="-2" w:firstLineChars="354" w:firstLine="850"/>
        <w:jc w:val="center"/>
        <w:rPr>
          <w:rFonts w:ascii="Garamond" w:hAnsi="Garamond" w:cstheme="majorBidi"/>
          <w:color w:val="000000" w:themeColor="text1"/>
          <w:sz w:val="24"/>
          <w:szCs w:val="24"/>
        </w:rPr>
      </w:pPr>
    </w:p>
    <w:p w14:paraId="0AC7E1C6" w14:textId="1BAE6C16" w:rsidR="00F113E2" w:rsidRPr="00060A7D" w:rsidRDefault="00F113E2" w:rsidP="00060A7D">
      <w:pPr>
        <w:spacing w:after="0" w:line="360" w:lineRule="auto"/>
        <w:ind w:left="-2" w:firstLineChars="355" w:firstLine="852"/>
        <w:jc w:val="both"/>
        <w:rPr>
          <w:rFonts w:ascii="Garamond" w:hAnsi="Garamond" w:cstheme="majorBidi"/>
          <w:color w:val="000000" w:themeColor="text1"/>
          <w:sz w:val="24"/>
          <w:szCs w:val="24"/>
        </w:rPr>
      </w:pPr>
      <w:r w:rsidRPr="00060A7D">
        <w:rPr>
          <w:rFonts w:ascii="Garamond" w:hAnsi="Garamond" w:cstheme="majorBidi"/>
          <w:color w:val="000000" w:themeColor="text1"/>
          <w:sz w:val="24"/>
          <w:szCs w:val="24"/>
        </w:rPr>
        <w:t xml:space="preserve">Metodologi penafsiran Al-Qur’an yang digagas oleh Fazlur Rahman terbangun dari dua tahap, pertama dilihat dari penjelasannya dan yang kedua dari metodologi Rahman yang mashyur dikenal dengan </w:t>
      </w:r>
      <w:r w:rsidRPr="00060A7D">
        <w:rPr>
          <w:rFonts w:ascii="Garamond" w:hAnsi="Garamond" w:cstheme="majorBidi"/>
          <w:i/>
          <w:iCs/>
          <w:color w:val="000000" w:themeColor="text1"/>
          <w:sz w:val="24"/>
          <w:szCs w:val="24"/>
        </w:rPr>
        <w:t>Double Movement</w:t>
      </w:r>
      <w:r w:rsidR="00C87944" w:rsidRPr="00060A7D">
        <w:rPr>
          <w:rFonts w:ascii="Garamond" w:hAnsi="Garamond" w:cstheme="majorBidi"/>
          <w:color w:val="000000" w:themeColor="text1"/>
          <w:sz w:val="24"/>
          <w:szCs w:val="24"/>
        </w:rPr>
        <w:t xml:space="preserve">. </w:t>
      </w:r>
      <w:r w:rsidRPr="00060A7D">
        <w:rPr>
          <w:rFonts w:ascii="Garamond" w:hAnsi="Garamond" w:cstheme="majorBidi"/>
          <w:color w:val="000000" w:themeColor="text1"/>
          <w:sz w:val="24"/>
          <w:szCs w:val="24"/>
        </w:rPr>
        <w:t xml:space="preserve">Rahman dalam artikelnya yang berjudul </w:t>
      </w:r>
      <w:r w:rsidRPr="00060A7D">
        <w:rPr>
          <w:rFonts w:ascii="Garamond" w:hAnsi="Garamond" w:cstheme="majorBidi"/>
          <w:i/>
          <w:iCs/>
          <w:color w:val="000000" w:themeColor="text1"/>
          <w:sz w:val="24"/>
          <w:szCs w:val="24"/>
        </w:rPr>
        <w:t xml:space="preserve">Islamic </w:t>
      </w:r>
      <w:proofErr w:type="spellStart"/>
      <w:r w:rsidRPr="00060A7D">
        <w:rPr>
          <w:rFonts w:ascii="Garamond" w:hAnsi="Garamond" w:cstheme="majorBidi"/>
          <w:i/>
          <w:iCs/>
          <w:color w:val="000000" w:themeColor="text1"/>
          <w:sz w:val="24"/>
          <w:szCs w:val="24"/>
        </w:rPr>
        <w:t>modernism</w:t>
      </w:r>
      <w:proofErr w:type="spellEnd"/>
      <w:r w:rsidRPr="00060A7D">
        <w:rPr>
          <w:rFonts w:ascii="Garamond" w:hAnsi="Garamond" w:cstheme="majorBidi"/>
          <w:i/>
          <w:iCs/>
          <w:color w:val="000000" w:themeColor="text1"/>
          <w:sz w:val="24"/>
          <w:szCs w:val="24"/>
        </w:rPr>
        <w:t xml:space="preserve">: </w:t>
      </w:r>
      <w:proofErr w:type="spellStart"/>
      <w:r w:rsidRPr="00060A7D">
        <w:rPr>
          <w:rFonts w:ascii="Garamond" w:hAnsi="Garamond" w:cstheme="majorBidi"/>
          <w:i/>
          <w:iCs/>
          <w:color w:val="000000" w:themeColor="text1"/>
          <w:sz w:val="24"/>
          <w:szCs w:val="24"/>
        </w:rPr>
        <w:t>Its</w:t>
      </w:r>
      <w:proofErr w:type="spellEnd"/>
      <w:r w:rsidRPr="00060A7D">
        <w:rPr>
          <w:rFonts w:ascii="Garamond" w:hAnsi="Garamond" w:cstheme="majorBidi"/>
          <w:i/>
          <w:iCs/>
          <w:color w:val="000000" w:themeColor="text1"/>
          <w:sz w:val="24"/>
          <w:szCs w:val="24"/>
        </w:rPr>
        <w:t xml:space="preserve"> </w:t>
      </w:r>
      <w:proofErr w:type="spellStart"/>
      <w:r w:rsidR="00060A7D" w:rsidRPr="00060A7D">
        <w:rPr>
          <w:rFonts w:ascii="Garamond" w:hAnsi="Garamond" w:cstheme="majorBidi"/>
          <w:i/>
          <w:iCs/>
          <w:color w:val="000000" w:themeColor="text1"/>
          <w:sz w:val="24"/>
          <w:szCs w:val="24"/>
        </w:rPr>
        <w:t>Scope</w:t>
      </w:r>
      <w:proofErr w:type="spellEnd"/>
      <w:r w:rsidRPr="00060A7D">
        <w:rPr>
          <w:rFonts w:ascii="Garamond" w:hAnsi="Garamond" w:cstheme="majorBidi"/>
          <w:i/>
          <w:iCs/>
          <w:color w:val="000000" w:themeColor="text1"/>
          <w:sz w:val="24"/>
          <w:szCs w:val="24"/>
        </w:rPr>
        <w:t xml:space="preserve">, </w:t>
      </w:r>
      <w:proofErr w:type="spellStart"/>
      <w:r w:rsidR="00060A7D" w:rsidRPr="00060A7D">
        <w:rPr>
          <w:rFonts w:ascii="Garamond" w:hAnsi="Garamond" w:cstheme="majorBidi"/>
          <w:i/>
          <w:iCs/>
          <w:color w:val="000000" w:themeColor="text1"/>
          <w:sz w:val="24"/>
          <w:szCs w:val="24"/>
        </w:rPr>
        <w:t>Method</w:t>
      </w:r>
      <w:proofErr w:type="spellEnd"/>
      <w:r w:rsidR="00060A7D" w:rsidRPr="00060A7D">
        <w:rPr>
          <w:rFonts w:ascii="Garamond" w:hAnsi="Garamond" w:cstheme="majorBidi"/>
          <w:i/>
          <w:iCs/>
          <w:color w:val="000000" w:themeColor="text1"/>
          <w:sz w:val="24"/>
          <w:szCs w:val="24"/>
        </w:rPr>
        <w:t xml:space="preserve"> </w:t>
      </w:r>
      <w:proofErr w:type="spellStart"/>
      <w:r w:rsidRPr="00060A7D">
        <w:rPr>
          <w:rFonts w:ascii="Garamond" w:hAnsi="Garamond" w:cstheme="majorBidi"/>
          <w:i/>
          <w:iCs/>
          <w:color w:val="000000" w:themeColor="text1"/>
          <w:sz w:val="24"/>
          <w:szCs w:val="24"/>
        </w:rPr>
        <w:t>and</w:t>
      </w:r>
      <w:proofErr w:type="spellEnd"/>
      <w:r w:rsidRPr="00060A7D">
        <w:rPr>
          <w:rFonts w:ascii="Garamond" w:hAnsi="Garamond" w:cstheme="majorBidi"/>
          <w:i/>
          <w:iCs/>
          <w:color w:val="000000" w:themeColor="text1"/>
          <w:sz w:val="24"/>
          <w:szCs w:val="24"/>
        </w:rPr>
        <w:t xml:space="preserve"> </w:t>
      </w:r>
      <w:proofErr w:type="spellStart"/>
      <w:r w:rsidR="00060A7D" w:rsidRPr="00060A7D">
        <w:rPr>
          <w:rFonts w:ascii="Garamond" w:hAnsi="Garamond" w:cstheme="majorBidi"/>
          <w:i/>
          <w:iCs/>
          <w:color w:val="000000" w:themeColor="text1"/>
          <w:sz w:val="24"/>
          <w:szCs w:val="24"/>
        </w:rPr>
        <w:t>Alternatives</w:t>
      </w:r>
      <w:proofErr w:type="spellEnd"/>
      <w:r w:rsidR="00060A7D" w:rsidRPr="00060A7D">
        <w:rPr>
          <w:rFonts w:ascii="Garamond" w:hAnsi="Garamond" w:cstheme="majorBidi"/>
          <w:i/>
          <w:iCs/>
          <w:color w:val="000000" w:themeColor="text1"/>
          <w:sz w:val="24"/>
          <w:szCs w:val="24"/>
        </w:rPr>
        <w:t xml:space="preserve"> </w:t>
      </w:r>
      <w:r w:rsidRPr="00060A7D">
        <w:rPr>
          <w:rFonts w:ascii="Garamond" w:hAnsi="Garamond" w:cstheme="majorBidi"/>
          <w:color w:val="000000" w:themeColor="text1"/>
          <w:sz w:val="24"/>
          <w:szCs w:val="24"/>
        </w:rPr>
        <w:t>memberikan penjelasan seputar kajian awal penafsiran</w:t>
      </w:r>
      <w:r w:rsidR="00C87944" w:rsidRPr="00060A7D">
        <w:rPr>
          <w:rFonts w:ascii="Garamond" w:hAnsi="Garamond" w:cstheme="majorBidi"/>
          <w:color w:val="000000" w:themeColor="text1"/>
          <w:sz w:val="24"/>
          <w:szCs w:val="24"/>
        </w:rPr>
        <w:t xml:space="preserve"> </w:t>
      </w:r>
      <w:r w:rsidR="00E55D3B" w:rsidRPr="00060A7D">
        <w:rPr>
          <w:rStyle w:val="FootnoteReference"/>
          <w:rFonts w:ascii="Garamond" w:hAnsi="Garamond"/>
          <w:sz w:val="24"/>
          <w:szCs w:val="24"/>
        </w:rPr>
        <w:fldChar w:fldCharType="begin" w:fldLock="1"/>
      </w:r>
      <w:r w:rsidR="00EC1D80" w:rsidRPr="00060A7D">
        <w:rPr>
          <w:rFonts w:ascii="Garamond" w:hAnsi="Garamond"/>
          <w:sz w:val="24"/>
          <w:szCs w:val="24"/>
        </w:rPr>
        <w:instrText>ADDIN CSL_CITATION {"citationItems":[{"id":"ITEM-1","itemData":{"DOI":"10.1017/S0020743800000714","ISSN":"14716380","author":[{"dropping-particle":"","family":"Rahman","given":"Faziur","non-dropping-particle":"","parse-names":false,"suffix":""}],"container-title":"International Journal of Middle East Studies","id":"ITEM-1","issue":"4","issued":{"date-parts":[["1970"]]},"page":"317-333","title":"Islamic modernism: Its scope, method and alternatives","type":"article-journal","volume":"1"},"uris":["http://www.mendeley.com/documents/?uuid=6151930e-da44-4169-96c2-2786d3971be8"]}],"mendeley":{"formattedCitation":"(Rahman, 1970)","plainTextFormattedCitation":"(Rahman, 1970)","previouslyFormattedCitation":"(Rahman, 1970)"},"properties":{"noteIndex":0},"schema":"https://github.com/citation-style-language/schema/raw/master/csl-citation.json"}</w:instrText>
      </w:r>
      <w:r w:rsidR="00E55D3B" w:rsidRPr="00060A7D">
        <w:rPr>
          <w:rStyle w:val="FootnoteReference"/>
          <w:rFonts w:ascii="Garamond" w:hAnsi="Garamond"/>
          <w:sz w:val="24"/>
          <w:szCs w:val="24"/>
        </w:rPr>
        <w:fldChar w:fldCharType="separate"/>
      </w:r>
      <w:r w:rsidR="00E55D3B" w:rsidRPr="00060A7D">
        <w:rPr>
          <w:rFonts w:ascii="Garamond" w:hAnsi="Garamond"/>
          <w:bCs/>
          <w:noProof/>
          <w:sz w:val="24"/>
          <w:szCs w:val="24"/>
          <w:lang w:val="en-US"/>
        </w:rPr>
        <w:t>(Rahman, 1970)</w:t>
      </w:r>
      <w:r w:rsidR="00E55D3B" w:rsidRPr="00060A7D">
        <w:rPr>
          <w:rStyle w:val="FootnoteReference"/>
          <w:rFonts w:ascii="Garamond" w:hAnsi="Garamond"/>
          <w:sz w:val="24"/>
          <w:szCs w:val="24"/>
        </w:rPr>
        <w:fldChar w:fldCharType="end"/>
      </w:r>
      <w:r w:rsidR="00C87944" w:rsidRPr="00060A7D">
        <w:rPr>
          <w:rFonts w:ascii="Garamond" w:hAnsi="Garamond"/>
          <w:sz w:val="24"/>
          <w:szCs w:val="24"/>
        </w:rPr>
        <w:t>.</w:t>
      </w:r>
    </w:p>
    <w:p w14:paraId="312D29E5" w14:textId="788CC1F0" w:rsidR="00F113E2" w:rsidRPr="00060A7D" w:rsidRDefault="00060A7D" w:rsidP="00060A7D">
      <w:pPr>
        <w:spacing w:after="120" w:line="240" w:lineRule="auto"/>
        <w:ind w:leftChars="385" w:left="849" w:right="849" w:hanging="2"/>
        <w:jc w:val="both"/>
        <w:rPr>
          <w:rFonts w:ascii="Garamond" w:hAnsi="Garamond" w:cstheme="majorBidi"/>
          <w:i/>
          <w:iCs/>
          <w:color w:val="000000" w:themeColor="text1"/>
          <w:sz w:val="24"/>
          <w:szCs w:val="24"/>
        </w:rPr>
      </w:pPr>
      <w:r>
        <w:rPr>
          <w:rFonts w:ascii="Garamond" w:hAnsi="Garamond" w:cstheme="majorBidi"/>
          <w:i/>
          <w:iCs/>
          <w:color w:val="000000" w:themeColor="text1"/>
          <w:sz w:val="24"/>
          <w:szCs w:val="24"/>
        </w:rPr>
        <w:t>“</w:t>
      </w:r>
      <w:r w:rsidR="00F113E2" w:rsidRPr="00060A7D">
        <w:rPr>
          <w:rFonts w:ascii="Garamond" w:hAnsi="Garamond" w:cstheme="majorBidi"/>
          <w:i/>
          <w:iCs/>
          <w:color w:val="000000" w:themeColor="text1"/>
          <w:sz w:val="24"/>
          <w:szCs w:val="24"/>
        </w:rPr>
        <w:t xml:space="preserve">A </w:t>
      </w:r>
      <w:proofErr w:type="spellStart"/>
      <w:r w:rsidR="00F113E2" w:rsidRPr="00060A7D">
        <w:rPr>
          <w:rFonts w:ascii="Garamond" w:hAnsi="Garamond" w:cstheme="majorBidi"/>
          <w:i/>
          <w:iCs/>
          <w:color w:val="000000" w:themeColor="text1"/>
          <w:sz w:val="24"/>
          <w:szCs w:val="24"/>
        </w:rPr>
        <w:t>sober</w:t>
      </w:r>
      <w:proofErr w:type="spellEnd"/>
      <w:r w:rsidR="00F113E2" w:rsidRPr="00060A7D">
        <w:rPr>
          <w:rFonts w:ascii="Garamond" w:hAnsi="Garamond" w:cstheme="majorBidi"/>
          <w:i/>
          <w:iCs/>
          <w:color w:val="000000" w:themeColor="text1"/>
          <w:sz w:val="24"/>
          <w:szCs w:val="24"/>
        </w:rPr>
        <w:t xml:space="preserve"> </w:t>
      </w:r>
      <w:proofErr w:type="spellStart"/>
      <w:r w:rsidR="00F113E2" w:rsidRPr="00060A7D">
        <w:rPr>
          <w:rFonts w:ascii="Garamond" w:hAnsi="Garamond" w:cstheme="majorBidi"/>
          <w:i/>
          <w:iCs/>
          <w:color w:val="000000" w:themeColor="text1"/>
          <w:sz w:val="24"/>
          <w:szCs w:val="24"/>
        </w:rPr>
        <w:t>and</w:t>
      </w:r>
      <w:proofErr w:type="spellEnd"/>
      <w:r w:rsidR="00F113E2" w:rsidRPr="00060A7D">
        <w:rPr>
          <w:rFonts w:ascii="Garamond" w:hAnsi="Garamond" w:cstheme="majorBidi"/>
          <w:i/>
          <w:iCs/>
          <w:color w:val="000000" w:themeColor="text1"/>
          <w:sz w:val="24"/>
          <w:szCs w:val="24"/>
        </w:rPr>
        <w:t xml:space="preserve"> </w:t>
      </w:r>
      <w:proofErr w:type="spellStart"/>
      <w:r w:rsidR="00F113E2" w:rsidRPr="00060A7D">
        <w:rPr>
          <w:rFonts w:ascii="Garamond" w:hAnsi="Garamond" w:cstheme="majorBidi"/>
          <w:i/>
          <w:iCs/>
          <w:color w:val="000000" w:themeColor="text1"/>
          <w:sz w:val="24"/>
          <w:szCs w:val="24"/>
        </w:rPr>
        <w:t>honest</w:t>
      </w:r>
      <w:proofErr w:type="spellEnd"/>
      <w:r w:rsidR="00F113E2" w:rsidRPr="00060A7D">
        <w:rPr>
          <w:rFonts w:ascii="Garamond" w:hAnsi="Garamond" w:cstheme="majorBidi"/>
          <w:i/>
          <w:iCs/>
          <w:color w:val="000000" w:themeColor="text1"/>
          <w:sz w:val="24"/>
          <w:szCs w:val="24"/>
        </w:rPr>
        <w:t xml:space="preserve"> </w:t>
      </w:r>
      <w:proofErr w:type="spellStart"/>
      <w:r w:rsidR="00F113E2" w:rsidRPr="00060A7D">
        <w:rPr>
          <w:rFonts w:ascii="Garamond" w:hAnsi="Garamond" w:cstheme="majorBidi"/>
          <w:i/>
          <w:iCs/>
          <w:color w:val="000000" w:themeColor="text1"/>
          <w:sz w:val="24"/>
          <w:szCs w:val="24"/>
        </w:rPr>
        <w:t>historical</w:t>
      </w:r>
      <w:proofErr w:type="spellEnd"/>
      <w:r w:rsidR="00F113E2" w:rsidRPr="00060A7D">
        <w:rPr>
          <w:rFonts w:ascii="Garamond" w:hAnsi="Garamond" w:cstheme="majorBidi"/>
          <w:i/>
          <w:iCs/>
          <w:color w:val="000000" w:themeColor="text1"/>
          <w:sz w:val="24"/>
          <w:szCs w:val="24"/>
        </w:rPr>
        <w:t xml:space="preserve"> approach must be used for finding the meaning of the Qur'anic text. The metaphysical aspect of Qur'anic teaching may not lend itself very easily to historical treatment, but the sociological part certainly will. First of all, the Qur'an must be studied in chronological order. An examination of the earliest revelations to begin with will bestow an accurate enough perception of the basic impulse of the Islamic movement as distinguished from measures and institutions established later. And so one must follow the unfolding of the Qur'an through the career and struggle of Muhammad. This historical method will save us much of the extravagance and artificiality of modernist interpretations of the Qur'an. Apart from fixing the meaning of details, this method will also bring out the overall import of the Qur'anic </w:t>
      </w:r>
      <w:proofErr w:type="spellStart"/>
      <w:r w:rsidR="00F113E2" w:rsidRPr="00060A7D">
        <w:rPr>
          <w:rFonts w:ascii="Garamond" w:hAnsi="Garamond" w:cstheme="majorBidi"/>
          <w:i/>
          <w:iCs/>
          <w:color w:val="000000" w:themeColor="text1"/>
          <w:sz w:val="24"/>
          <w:szCs w:val="24"/>
        </w:rPr>
        <w:t>message</w:t>
      </w:r>
      <w:proofErr w:type="spellEnd"/>
      <w:r w:rsidR="00F113E2" w:rsidRPr="00060A7D">
        <w:rPr>
          <w:rFonts w:ascii="Garamond" w:hAnsi="Garamond" w:cstheme="majorBidi"/>
          <w:i/>
          <w:iCs/>
          <w:color w:val="000000" w:themeColor="text1"/>
          <w:sz w:val="24"/>
          <w:szCs w:val="24"/>
        </w:rPr>
        <w:t xml:space="preserve"> in a </w:t>
      </w:r>
      <w:proofErr w:type="spellStart"/>
      <w:r w:rsidR="00F113E2" w:rsidRPr="00060A7D">
        <w:rPr>
          <w:rFonts w:ascii="Garamond" w:hAnsi="Garamond" w:cstheme="majorBidi"/>
          <w:i/>
          <w:iCs/>
          <w:color w:val="000000" w:themeColor="text1"/>
          <w:sz w:val="24"/>
          <w:szCs w:val="24"/>
        </w:rPr>
        <w:t>systematic</w:t>
      </w:r>
      <w:proofErr w:type="spellEnd"/>
      <w:r w:rsidR="00F113E2" w:rsidRPr="00060A7D">
        <w:rPr>
          <w:rFonts w:ascii="Garamond" w:hAnsi="Garamond" w:cstheme="majorBidi"/>
          <w:i/>
          <w:iCs/>
          <w:color w:val="000000" w:themeColor="text1"/>
          <w:sz w:val="24"/>
          <w:szCs w:val="24"/>
        </w:rPr>
        <w:t xml:space="preserve"> </w:t>
      </w:r>
      <w:proofErr w:type="spellStart"/>
      <w:r w:rsidR="00F113E2" w:rsidRPr="00060A7D">
        <w:rPr>
          <w:rFonts w:ascii="Garamond" w:hAnsi="Garamond" w:cstheme="majorBidi"/>
          <w:i/>
          <w:iCs/>
          <w:color w:val="000000" w:themeColor="text1"/>
          <w:sz w:val="24"/>
          <w:szCs w:val="24"/>
        </w:rPr>
        <w:t>and</w:t>
      </w:r>
      <w:proofErr w:type="spellEnd"/>
      <w:r w:rsidR="00F113E2" w:rsidRPr="00060A7D">
        <w:rPr>
          <w:rFonts w:ascii="Garamond" w:hAnsi="Garamond" w:cstheme="majorBidi"/>
          <w:i/>
          <w:iCs/>
          <w:color w:val="000000" w:themeColor="text1"/>
          <w:sz w:val="24"/>
          <w:szCs w:val="24"/>
        </w:rPr>
        <w:t xml:space="preserve"> </w:t>
      </w:r>
      <w:proofErr w:type="spellStart"/>
      <w:r w:rsidR="00F113E2" w:rsidRPr="00060A7D">
        <w:rPr>
          <w:rFonts w:ascii="Garamond" w:hAnsi="Garamond" w:cstheme="majorBidi"/>
          <w:i/>
          <w:iCs/>
          <w:color w:val="000000" w:themeColor="text1"/>
          <w:sz w:val="24"/>
          <w:szCs w:val="24"/>
        </w:rPr>
        <w:t>coherent</w:t>
      </w:r>
      <w:proofErr w:type="spellEnd"/>
      <w:r w:rsidR="00F113E2" w:rsidRPr="00060A7D">
        <w:rPr>
          <w:rFonts w:ascii="Garamond" w:hAnsi="Garamond" w:cstheme="majorBidi"/>
          <w:i/>
          <w:iCs/>
          <w:color w:val="000000" w:themeColor="text1"/>
          <w:sz w:val="24"/>
          <w:szCs w:val="24"/>
        </w:rPr>
        <w:t xml:space="preserve"> </w:t>
      </w:r>
      <w:proofErr w:type="spellStart"/>
      <w:r w:rsidR="00F113E2" w:rsidRPr="00060A7D">
        <w:rPr>
          <w:rFonts w:ascii="Garamond" w:hAnsi="Garamond" w:cstheme="majorBidi"/>
          <w:i/>
          <w:iCs/>
          <w:color w:val="000000" w:themeColor="text1"/>
          <w:sz w:val="24"/>
          <w:szCs w:val="24"/>
        </w:rPr>
        <w:t>manner</w:t>
      </w:r>
      <w:proofErr w:type="spellEnd"/>
      <w:r w:rsidR="00F113E2" w:rsidRPr="00060A7D">
        <w:rPr>
          <w:rFonts w:ascii="Garamond" w:hAnsi="Garamond" w:cstheme="majorBidi"/>
          <w:i/>
          <w:iCs/>
          <w:color w:val="000000" w:themeColor="text1"/>
          <w:sz w:val="24"/>
          <w:szCs w:val="24"/>
        </w:rPr>
        <w:t>.</w:t>
      </w:r>
      <w:r>
        <w:rPr>
          <w:rFonts w:ascii="Garamond" w:hAnsi="Garamond" w:cstheme="majorBidi"/>
          <w:i/>
          <w:iCs/>
          <w:color w:val="000000" w:themeColor="text1"/>
          <w:sz w:val="24"/>
          <w:szCs w:val="24"/>
        </w:rPr>
        <w:t>”</w:t>
      </w:r>
    </w:p>
    <w:p w14:paraId="10342B41" w14:textId="77777777" w:rsidR="00060A7D" w:rsidRDefault="00F113E2" w:rsidP="00060A7D">
      <w:pPr>
        <w:spacing w:after="0" w:line="360" w:lineRule="auto"/>
        <w:ind w:left="-2" w:firstLineChars="355" w:firstLine="852"/>
        <w:jc w:val="both"/>
        <w:rPr>
          <w:rFonts w:ascii="Garamond" w:hAnsi="Garamond" w:cstheme="majorBidi"/>
          <w:sz w:val="24"/>
          <w:szCs w:val="24"/>
        </w:rPr>
      </w:pPr>
      <w:r w:rsidRPr="00060A7D">
        <w:rPr>
          <w:rFonts w:ascii="Garamond" w:hAnsi="Garamond" w:cstheme="majorBidi"/>
          <w:sz w:val="24"/>
          <w:szCs w:val="24"/>
        </w:rPr>
        <w:t>Rahman memberikan pemahamannya tentang Pendekatan historis yang bijaksana dan jujur harus digunakan untuk menemukan makna dari sebuah teks Al-Qur'an. Dia menyampaikan bahwa ajaran Al-Qur'an terutama kajian terhadap wahyu yang paling awal akan memberikan persepsi yang cukup akurat mengenai dorongan dasar gerakan Islam yang dibedakan dari langkah-langkahnya</w:t>
      </w:r>
      <w:r w:rsidR="00C87944" w:rsidRPr="00060A7D">
        <w:rPr>
          <w:rFonts w:ascii="Garamond" w:hAnsi="Garamond" w:cstheme="majorBidi"/>
          <w:sz w:val="24"/>
          <w:szCs w:val="24"/>
        </w:rPr>
        <w:t xml:space="preserve"> </w:t>
      </w:r>
      <w:r w:rsidR="00C87944" w:rsidRPr="00060A7D">
        <w:rPr>
          <w:rFonts w:ascii="Garamond" w:hAnsi="Garamond" w:cstheme="majorBidi"/>
          <w:sz w:val="24"/>
          <w:szCs w:val="24"/>
        </w:rPr>
        <w:fldChar w:fldCharType="begin" w:fldLock="1"/>
      </w:r>
      <w:r w:rsidR="00C87944" w:rsidRPr="00060A7D">
        <w:rPr>
          <w:rFonts w:ascii="Garamond" w:hAnsi="Garamond" w:cstheme="majorBidi"/>
          <w:sz w:val="24"/>
          <w:szCs w:val="24"/>
        </w:rPr>
        <w:instrText>ADDIN CSL_CITATION {"citationItems":[{"id":"ITEM-1","itemData":{"DOI":"10.62039/ijiss.v1i2.27","abstract":"This article seeks to identify the ideas of Fazlur Rahman, a classical thinker who is also ultramodern and advances neo modernism. Muslims are required to have a critical understanding of the Western world. One of his contributions is the Double Movement hermeneutic technique. This technique has distinct properties that can be used to understand legal and social texts. To identify Fazlur Rahman's views, the literature research approach is performed. According to the findings, Rahman emphasized the need of knowing the socio-historical backdrop in the field of law. Rahman was crucial in the development of a more methodical interpretive building. Even though his method is not wholly novel, he made an important contribution by emphasizing socio-historical factors and the Double Movement approach. However, problems and flaws in his technique are still being contested among Muslim academics. This article discusses the benefits and drawbacks of this strategy, presenting a fair picture of Rahman's contribution to ultramodern Islamic thinking.","author":[{"dropping-particle":"","family":"Rozaq","given":"Abd.","non-dropping-particle":"","parse-names":false,"suffix":""}],"container-title":"International Journal of Islamicate Social Studies","id":"ITEM-1","issue":"2","issued":{"date-parts":[["2023","11","25"]]},"page":"121-131","title":"Qur'anic Hermeneutics and its Applications by Fazlur Rahman","type":"article-journal","volume":"1"},"uris":["http://www.mendeley.com/documents/?uuid=19d042c6-7115-4cab-a975-9649351131d3"]}],"mendeley":{"formattedCitation":"(Rozaq, 2023)","plainTextFormattedCitation":"(Rozaq, 2023)","previouslyFormattedCitation":"(Rozaq, 2023)"},"properties":{"noteIndex":0},"schema":"https://github.com/citation-style-language/schema/raw/master/csl-citation.json"}</w:instrText>
      </w:r>
      <w:r w:rsidR="00C87944" w:rsidRPr="00060A7D">
        <w:rPr>
          <w:rFonts w:ascii="Garamond" w:hAnsi="Garamond" w:cstheme="majorBidi"/>
          <w:sz w:val="24"/>
          <w:szCs w:val="24"/>
        </w:rPr>
        <w:fldChar w:fldCharType="separate"/>
      </w:r>
      <w:r w:rsidR="00C87944" w:rsidRPr="00060A7D">
        <w:rPr>
          <w:rFonts w:ascii="Garamond" w:hAnsi="Garamond" w:cstheme="majorBidi"/>
          <w:noProof/>
          <w:sz w:val="24"/>
          <w:szCs w:val="24"/>
        </w:rPr>
        <w:t>(Rozaq, 2023)</w:t>
      </w:r>
      <w:r w:rsidR="00C87944" w:rsidRPr="00060A7D">
        <w:rPr>
          <w:rFonts w:ascii="Garamond" w:hAnsi="Garamond" w:cstheme="majorBidi"/>
          <w:sz w:val="24"/>
          <w:szCs w:val="24"/>
        </w:rPr>
        <w:fldChar w:fldCharType="end"/>
      </w:r>
      <w:r w:rsidRPr="00060A7D">
        <w:rPr>
          <w:rFonts w:ascii="Garamond" w:hAnsi="Garamond" w:cstheme="majorBidi"/>
          <w:sz w:val="24"/>
          <w:szCs w:val="24"/>
        </w:rPr>
        <w:t>. Oleh karena itu, kita harus mengikuti pengungkapan Al Qur'an melalui karir dan perjuangan Nabi Muhammad. Metode historis ini akan menyelamatkan masyarakat Muslim dari pemborosan dan kesalahan penafsiran modernis terhadap Al-Qur'an. Selain memperbaiki makna dari detail-detailnya, metode ini juga akan memunculkan keseluruhan pesan Al-Qur'an secara sistematis dan koheren</w:t>
      </w:r>
      <w:r w:rsidR="00072D0B" w:rsidRPr="00060A7D">
        <w:rPr>
          <w:rFonts w:ascii="Garamond" w:hAnsi="Garamond" w:cstheme="majorBidi"/>
          <w:sz w:val="24"/>
          <w:szCs w:val="24"/>
        </w:rPr>
        <w:t xml:space="preserve"> </w:t>
      </w:r>
      <w:r w:rsidR="00072D0B" w:rsidRPr="00060A7D">
        <w:rPr>
          <w:rFonts w:ascii="Garamond" w:hAnsi="Garamond" w:cstheme="majorBidi"/>
          <w:sz w:val="24"/>
          <w:szCs w:val="24"/>
        </w:rPr>
        <w:fldChar w:fldCharType="begin" w:fldLock="1"/>
      </w:r>
      <w:r w:rsidR="00072D0B" w:rsidRPr="00060A7D">
        <w:rPr>
          <w:rFonts w:ascii="Garamond" w:hAnsi="Garamond" w:cstheme="majorBidi"/>
          <w:sz w:val="24"/>
          <w:szCs w:val="24"/>
        </w:rPr>
        <w:instrText>ADDIN CSL_CITATION {"citationItems":[{"id":"ITEM-1","itemData":{"abstract":"Fazlur Rahman adalah seorang pemikir Islam kontemporer yang mengembangkan cara baru untuk memahami Al-Qur’an, terutama dalam konteks masa kini. Kajian ini membahas beberapa masalah utama. Pertama, metode tafsir tradisional dianggap tidak mampu menjawab tantangan zaman dan kedua, dianggap memiliki kecenderungan untuk menafsirkan secara atomistik dan ahistoris. Tujuan penelitian ini adalah untuk menggali pemikiran Fazlur Rahman terkait metodologi tafsir Al-Qur’an. Khususnya pendekatan historis-sosiologis, metode double movement (gerakan ganda) dan pendekatan sintetis-logis yang ia kembangkan. Metode double movement yang ia ususlkan berupaya untuk menhubungkan teks Al-Qur’an dengan realitas sosial kontemporer melalui dua tahap, yaitu memahami konteks historis ayat saat diturunkan dan menerjemahkan prinsip umumnya kedalam konteks saat ini. Dengan pendekatan ini, Rahman berusaha menjembatani pemahaman tradisional dan kebutuhan zaman saat ini, menjadikan Al-Qur’an sebagai pedoman yang tetap relevan bagi masyarakat. Studi ini menunjukkan bahwa metode ini memberi kontribusi signifikan dalam pengembangan tafsir Al-Qur’an yang lebih kontekstual, fleksibel dan responsif terhadap dinamika sosial.","author":[{"dropping-particle":"","family":"Syakir","given":"Ahmad Irfan","non-dropping-particle":"","parse-names":false,"suffix":""},{"dropping-particle":"","family":"Daulay","given":"Asnan Napis","non-dropping-particle":"","parse-names":false,"suffix":""},{"dropping-particle":"","family":"Fitri","given":"Shafira Ramadhana","non-dropping-particle":"","parse-names":false,"suffix":""}],"container-title":"ALMUSTOFA: Journal of Islamic Studies and Research","id":"ITEM-1","issue":"1","issued":{"date-parts":[["2025","6","5"]]},"page":"271-283","title":"Tafsir Historis-Sosiologis Fazlur Rahman: Menjawab Tantangan Zaman Dengan Al-Qur’an","type":"article-journal","volume":"2"},"uris":["http://www.mendeley.com/documents/?uuid=5b147a98-8bd6-488c-8461-c174d328846e"]}],"mendeley":{"formattedCitation":"(Syakir et al., 2025)","plainTextFormattedCitation":"(Syakir et al., 2025)"},"properties":{"noteIndex":0},"schema":"https://github.com/citation-style-language/schema/raw/master/csl-citation.json"}</w:instrText>
      </w:r>
      <w:r w:rsidR="00072D0B" w:rsidRPr="00060A7D">
        <w:rPr>
          <w:rFonts w:ascii="Garamond" w:hAnsi="Garamond" w:cstheme="majorBidi"/>
          <w:sz w:val="24"/>
          <w:szCs w:val="24"/>
        </w:rPr>
        <w:fldChar w:fldCharType="separate"/>
      </w:r>
      <w:r w:rsidR="00072D0B" w:rsidRPr="00060A7D">
        <w:rPr>
          <w:rFonts w:ascii="Garamond" w:hAnsi="Garamond" w:cstheme="majorBidi"/>
          <w:noProof/>
          <w:sz w:val="24"/>
          <w:szCs w:val="24"/>
        </w:rPr>
        <w:t>(Syakir et al., 2025)</w:t>
      </w:r>
      <w:r w:rsidR="00072D0B" w:rsidRPr="00060A7D">
        <w:rPr>
          <w:rFonts w:ascii="Garamond" w:hAnsi="Garamond" w:cstheme="majorBidi"/>
          <w:sz w:val="24"/>
          <w:szCs w:val="24"/>
        </w:rPr>
        <w:fldChar w:fldCharType="end"/>
      </w:r>
      <w:r w:rsidRPr="00060A7D">
        <w:rPr>
          <w:rFonts w:ascii="Garamond" w:hAnsi="Garamond" w:cstheme="majorBidi"/>
          <w:sz w:val="24"/>
          <w:szCs w:val="24"/>
        </w:rPr>
        <w:t>.</w:t>
      </w:r>
    </w:p>
    <w:p w14:paraId="25A06E22" w14:textId="6C61E2E4" w:rsidR="00F113E2" w:rsidRPr="00060A7D" w:rsidRDefault="00F113E2" w:rsidP="00060A7D">
      <w:pPr>
        <w:spacing w:after="0" w:line="360" w:lineRule="auto"/>
        <w:ind w:left="-2" w:firstLineChars="355" w:firstLine="852"/>
        <w:jc w:val="both"/>
        <w:rPr>
          <w:rFonts w:ascii="Garamond" w:hAnsi="Garamond" w:cstheme="majorBidi"/>
          <w:sz w:val="24"/>
          <w:szCs w:val="24"/>
        </w:rPr>
      </w:pPr>
      <w:r w:rsidRPr="00060A7D">
        <w:rPr>
          <w:rFonts w:ascii="Garamond" w:hAnsi="Garamond" w:cstheme="majorBidi"/>
          <w:sz w:val="24"/>
          <w:szCs w:val="24"/>
        </w:rPr>
        <w:t>Meskipun ketertarikan Rahman terhadap Al-</w:t>
      </w:r>
      <w:proofErr w:type="spellStart"/>
      <w:r w:rsidRPr="00060A7D">
        <w:rPr>
          <w:rFonts w:ascii="Garamond" w:hAnsi="Garamond" w:cstheme="majorBidi"/>
          <w:sz w:val="24"/>
          <w:szCs w:val="24"/>
        </w:rPr>
        <w:t>Qur'an</w:t>
      </w:r>
      <w:proofErr w:type="spellEnd"/>
      <w:r w:rsidRPr="00060A7D">
        <w:rPr>
          <w:rFonts w:ascii="Garamond" w:hAnsi="Garamond" w:cstheme="majorBidi"/>
          <w:sz w:val="24"/>
          <w:szCs w:val="24"/>
        </w:rPr>
        <w:t xml:space="preserve"> lebih luas daripada konten etik-hukumnya, area ini menempati tempat penting dalam tulisannya, karena hal ini menjadi pusat perhatiannya terhadap perlunya pemikiran ulang terhadap penafsiran Al-Qur'an. Rahman </w:t>
      </w:r>
      <w:r w:rsidRPr="00060A7D">
        <w:rPr>
          <w:rFonts w:ascii="Garamond" w:hAnsi="Garamond" w:cstheme="majorBidi"/>
          <w:sz w:val="24"/>
          <w:szCs w:val="24"/>
        </w:rPr>
        <w:lastRenderedPageBreak/>
        <w:t>percaya bahwa kandungan etik-hukum al-Qur'an harus dibaca dalam konteks tujuan keadilan dari al-Qur'an, yang baginya merupakan dasar dari kandungan tersebut</w:t>
      </w:r>
      <w:r w:rsidR="00C87944" w:rsidRPr="00060A7D">
        <w:rPr>
          <w:rFonts w:ascii="Garamond" w:hAnsi="Garamond" w:cstheme="majorBidi"/>
          <w:sz w:val="24"/>
          <w:szCs w:val="24"/>
        </w:rPr>
        <w:t xml:space="preserve"> </w:t>
      </w:r>
      <w:r w:rsidR="00E55D3B" w:rsidRPr="00060A7D">
        <w:rPr>
          <w:rStyle w:val="FootnoteReference"/>
          <w:rFonts w:ascii="Garamond" w:hAnsi="Garamond"/>
          <w:sz w:val="24"/>
          <w:szCs w:val="24"/>
        </w:rPr>
        <w:fldChar w:fldCharType="begin" w:fldLock="1"/>
      </w:r>
      <w:r w:rsidR="00EC1D80" w:rsidRPr="00060A7D">
        <w:rPr>
          <w:rFonts w:ascii="Garamond" w:hAnsi="Garamond"/>
          <w:sz w:val="24"/>
          <w:szCs w:val="24"/>
        </w:rPr>
        <w:instrText>ADDIN CSL_CITATION {"citationItems":[{"id":"ITEM-1","itemData":{"abstract":"This study discusses to Fazlur Rahman's thoughts on Qur'anic ethics, because experts often mention that ethics is not only the basic elan of the Quran (essence in the teachings of Alquran), but also is a universal aspect that exists in every human being. This study uses a qualitative descriptive approach by basing its reading on the existing literature of Fazlur Rahman's works. The results of preliminary research indicate that ethics are integrated in God's relationship, human, and nature that cannot be separated from each other. So the first ethics mentioned in terms of the relationship between God, human beings and nature is conceptualized in the values of security. Therefore the first person must believe in God in all his attitudes by realizing various virtues. So humans carry out the mandate as caliphs on this earth (khafilah fi al-ard). Abstrak","author":[{"dropping-particle":"","family":"Maraimbang","given":"","non-dropping-particle":"","parse-names":false,"suffix":""}],"container-title":"Ibn Abbas: Jurnal Ilmu Al-Qur'an dan Tafsir","id":"ITEM-1","issue":"2","issued":{"date-parts":[["2018"]]},"page":"148-167","title":"Etika Al-Qur'an Menurut Fazlur Rahman: Konsepsi Iman","type":"article-journal","volume":"1"},"uris":["http://www.mendeley.com/documents/?uuid=4597327b-9461-4313-9612-41e60803204d"]}],"mendeley":{"formattedCitation":"(Maraimbang, 2018)","plainTextFormattedCitation":"(Maraimbang, 2018)","previouslyFormattedCitation":"(Maraimbang, 2018)"},"properties":{"noteIndex":0},"schema":"https://github.com/citation-style-language/schema/raw/master/csl-citation.json"}</w:instrText>
      </w:r>
      <w:r w:rsidR="00E55D3B" w:rsidRPr="00060A7D">
        <w:rPr>
          <w:rStyle w:val="FootnoteReference"/>
          <w:rFonts w:ascii="Garamond" w:hAnsi="Garamond"/>
          <w:sz w:val="24"/>
          <w:szCs w:val="24"/>
        </w:rPr>
        <w:fldChar w:fldCharType="separate"/>
      </w:r>
      <w:r w:rsidR="00E55D3B" w:rsidRPr="00060A7D">
        <w:rPr>
          <w:rFonts w:ascii="Garamond" w:hAnsi="Garamond"/>
          <w:bCs/>
          <w:noProof/>
          <w:sz w:val="24"/>
          <w:szCs w:val="24"/>
        </w:rPr>
        <w:t>(Maraimbang, 2018)</w:t>
      </w:r>
      <w:r w:rsidR="00E55D3B" w:rsidRPr="00060A7D">
        <w:rPr>
          <w:rStyle w:val="FootnoteReference"/>
          <w:rFonts w:ascii="Garamond" w:hAnsi="Garamond"/>
          <w:sz w:val="24"/>
          <w:szCs w:val="24"/>
        </w:rPr>
        <w:fldChar w:fldCharType="end"/>
      </w:r>
      <w:r w:rsidR="00C87944" w:rsidRPr="00060A7D">
        <w:rPr>
          <w:rFonts w:ascii="Garamond" w:hAnsi="Garamond"/>
          <w:sz w:val="24"/>
          <w:szCs w:val="24"/>
        </w:rPr>
        <w:t>.</w:t>
      </w:r>
      <w:r w:rsidRPr="00060A7D">
        <w:rPr>
          <w:rFonts w:ascii="Garamond" w:hAnsi="Garamond" w:cstheme="majorBidi"/>
          <w:sz w:val="24"/>
          <w:szCs w:val="24"/>
        </w:rPr>
        <w:t xml:space="preserve"> Sebagai contoh, Rahman menyoroti tujuan keadilan sosial dalam kandungan etik-hukum Al-Qur'an yang berkaitan dengan perempuan:</w:t>
      </w:r>
    </w:p>
    <w:p w14:paraId="16ADC607" w14:textId="299F26FA" w:rsidR="00F113E2" w:rsidRPr="00060A7D" w:rsidRDefault="00060A7D" w:rsidP="00060A7D">
      <w:pPr>
        <w:pStyle w:val="NoSpacing"/>
        <w:spacing w:after="120"/>
        <w:ind w:left="851"/>
        <w:jc w:val="both"/>
        <w:rPr>
          <w:rFonts w:ascii="Garamond" w:hAnsi="Garamond" w:cstheme="majorBidi"/>
          <w:i/>
          <w:iCs/>
          <w:sz w:val="24"/>
          <w:szCs w:val="24"/>
          <w:lang w:val="id-ID"/>
        </w:rPr>
      </w:pPr>
      <w:r>
        <w:rPr>
          <w:rFonts w:ascii="Garamond" w:hAnsi="Garamond" w:cstheme="majorBidi"/>
          <w:i/>
          <w:iCs/>
          <w:sz w:val="24"/>
          <w:szCs w:val="24"/>
          <w:lang w:val="id-ID"/>
        </w:rPr>
        <w:t>“</w:t>
      </w:r>
      <w:r w:rsidR="00F113E2" w:rsidRPr="00060A7D">
        <w:rPr>
          <w:rFonts w:ascii="Garamond" w:hAnsi="Garamond" w:cstheme="majorBidi"/>
          <w:i/>
          <w:iCs/>
          <w:sz w:val="24"/>
          <w:szCs w:val="24"/>
          <w:lang w:val="id-ID"/>
        </w:rPr>
        <w:t xml:space="preserve">The </w:t>
      </w:r>
      <w:proofErr w:type="spellStart"/>
      <w:r w:rsidR="00F113E2" w:rsidRPr="00060A7D">
        <w:rPr>
          <w:rFonts w:ascii="Garamond" w:hAnsi="Garamond" w:cstheme="majorBidi"/>
          <w:i/>
          <w:iCs/>
          <w:sz w:val="24"/>
          <w:szCs w:val="24"/>
          <w:lang w:val="id-ID"/>
        </w:rPr>
        <w:t>Qur'an</w:t>
      </w:r>
      <w:proofErr w:type="spellEnd"/>
      <w:r w:rsidR="00F113E2" w:rsidRPr="00060A7D">
        <w:rPr>
          <w:rFonts w:ascii="Garamond" w:hAnsi="Garamond" w:cstheme="majorBidi"/>
          <w:i/>
          <w:iCs/>
          <w:sz w:val="24"/>
          <w:szCs w:val="24"/>
          <w:lang w:val="id-ID"/>
        </w:rPr>
        <w:t xml:space="preserve"> </w:t>
      </w:r>
      <w:proofErr w:type="spellStart"/>
      <w:r w:rsidR="00F113E2" w:rsidRPr="00060A7D">
        <w:rPr>
          <w:rFonts w:ascii="Garamond" w:hAnsi="Garamond" w:cstheme="majorBidi"/>
          <w:i/>
          <w:iCs/>
          <w:sz w:val="24"/>
          <w:szCs w:val="24"/>
          <w:lang w:val="id-ID"/>
        </w:rPr>
        <w:t>insistently</w:t>
      </w:r>
      <w:proofErr w:type="spellEnd"/>
      <w:r w:rsidR="00F113E2" w:rsidRPr="00060A7D">
        <w:rPr>
          <w:rFonts w:ascii="Garamond" w:hAnsi="Garamond" w:cstheme="majorBidi"/>
          <w:i/>
          <w:iCs/>
          <w:sz w:val="24"/>
          <w:szCs w:val="24"/>
          <w:lang w:val="id-ID"/>
        </w:rPr>
        <w:t xml:space="preserve"> </w:t>
      </w:r>
      <w:proofErr w:type="spellStart"/>
      <w:r w:rsidR="00F113E2" w:rsidRPr="00060A7D">
        <w:rPr>
          <w:rFonts w:ascii="Garamond" w:hAnsi="Garamond" w:cstheme="majorBidi"/>
          <w:i/>
          <w:iCs/>
          <w:sz w:val="24"/>
          <w:szCs w:val="24"/>
          <w:lang w:val="id-ID"/>
        </w:rPr>
        <w:t>forbids</w:t>
      </w:r>
      <w:proofErr w:type="spellEnd"/>
      <w:r w:rsidR="00F113E2" w:rsidRPr="00060A7D">
        <w:rPr>
          <w:rFonts w:ascii="Garamond" w:hAnsi="Garamond" w:cstheme="majorBidi"/>
          <w:i/>
          <w:iCs/>
          <w:sz w:val="24"/>
          <w:szCs w:val="24"/>
          <w:lang w:val="id-ID"/>
        </w:rPr>
        <w:t xml:space="preserve"> </w:t>
      </w:r>
      <w:proofErr w:type="spellStart"/>
      <w:r w:rsidR="00F113E2" w:rsidRPr="00060A7D">
        <w:rPr>
          <w:rFonts w:ascii="Garamond" w:hAnsi="Garamond" w:cstheme="majorBidi"/>
          <w:i/>
          <w:iCs/>
          <w:sz w:val="24"/>
          <w:szCs w:val="24"/>
          <w:lang w:val="id-ID"/>
        </w:rPr>
        <w:t>the</w:t>
      </w:r>
      <w:proofErr w:type="spellEnd"/>
      <w:r w:rsidR="00F113E2" w:rsidRPr="00060A7D">
        <w:rPr>
          <w:rFonts w:ascii="Garamond" w:hAnsi="Garamond" w:cstheme="majorBidi"/>
          <w:i/>
          <w:iCs/>
          <w:sz w:val="24"/>
          <w:szCs w:val="24"/>
          <w:lang w:val="id-ID"/>
        </w:rPr>
        <w:t xml:space="preserve"> male to exploit the female on thestrength of his stronger position in society, and Islam set intomotion the whole complex of measures - legal and moral - wherebysex exploitation would be completely eradicated. It forbade therecourse to polygamy under normal circumstances, allowed thewoman to own and earn wealth, declared her to be an equal partnerin the society: noting and allowingthe disadvantages she had inthe society of that age. It laid down the basis of matrimonial life tobe mutual love and affection, and that spouses were like garmentsunto each other. It strictly regulated </w:t>
      </w:r>
      <w:proofErr w:type="spellStart"/>
      <w:r w:rsidR="00F113E2" w:rsidRPr="00060A7D">
        <w:rPr>
          <w:rFonts w:ascii="Garamond" w:hAnsi="Garamond" w:cstheme="majorBidi"/>
          <w:i/>
          <w:iCs/>
          <w:sz w:val="24"/>
          <w:szCs w:val="24"/>
          <w:lang w:val="id-ID"/>
        </w:rPr>
        <w:t>the</w:t>
      </w:r>
      <w:proofErr w:type="spellEnd"/>
      <w:r w:rsidR="00F113E2" w:rsidRPr="00060A7D">
        <w:rPr>
          <w:rFonts w:ascii="Garamond" w:hAnsi="Garamond" w:cstheme="majorBidi"/>
          <w:i/>
          <w:iCs/>
          <w:sz w:val="24"/>
          <w:szCs w:val="24"/>
          <w:lang w:val="id-ID"/>
        </w:rPr>
        <w:t xml:space="preserve"> </w:t>
      </w:r>
      <w:proofErr w:type="spellStart"/>
      <w:r w:rsidR="00F113E2" w:rsidRPr="00060A7D">
        <w:rPr>
          <w:rFonts w:ascii="Garamond" w:hAnsi="Garamond" w:cstheme="majorBidi"/>
          <w:i/>
          <w:iCs/>
          <w:sz w:val="24"/>
          <w:szCs w:val="24"/>
          <w:lang w:val="id-ID"/>
        </w:rPr>
        <w:t>law</w:t>
      </w:r>
      <w:proofErr w:type="spellEnd"/>
      <w:r w:rsidR="00F113E2" w:rsidRPr="00060A7D">
        <w:rPr>
          <w:rFonts w:ascii="Garamond" w:hAnsi="Garamond" w:cstheme="majorBidi"/>
          <w:i/>
          <w:iCs/>
          <w:sz w:val="24"/>
          <w:szCs w:val="24"/>
          <w:lang w:val="id-ID"/>
        </w:rPr>
        <w:t xml:space="preserve"> </w:t>
      </w:r>
      <w:proofErr w:type="spellStart"/>
      <w:r w:rsidR="00F113E2" w:rsidRPr="00060A7D">
        <w:rPr>
          <w:rFonts w:ascii="Garamond" w:hAnsi="Garamond" w:cstheme="majorBidi"/>
          <w:i/>
          <w:iCs/>
          <w:sz w:val="24"/>
          <w:szCs w:val="24"/>
          <w:lang w:val="id-ID"/>
        </w:rPr>
        <w:t>of</w:t>
      </w:r>
      <w:proofErr w:type="spellEnd"/>
      <w:r w:rsidR="00F113E2" w:rsidRPr="00060A7D">
        <w:rPr>
          <w:rFonts w:ascii="Garamond" w:hAnsi="Garamond" w:cstheme="majorBidi"/>
          <w:i/>
          <w:iCs/>
          <w:sz w:val="24"/>
          <w:szCs w:val="24"/>
          <w:lang w:val="id-ID"/>
        </w:rPr>
        <w:t xml:space="preserve"> </w:t>
      </w:r>
      <w:proofErr w:type="spellStart"/>
      <w:r w:rsidR="00F113E2" w:rsidRPr="00060A7D">
        <w:rPr>
          <w:rFonts w:ascii="Garamond" w:hAnsi="Garamond" w:cstheme="majorBidi"/>
          <w:i/>
          <w:iCs/>
          <w:sz w:val="24"/>
          <w:szCs w:val="24"/>
          <w:lang w:val="id-ID"/>
        </w:rPr>
        <w:t>divorce</w:t>
      </w:r>
      <w:proofErr w:type="spellEnd"/>
      <w:r w:rsidR="00F113E2" w:rsidRPr="00060A7D">
        <w:rPr>
          <w:rFonts w:ascii="Garamond" w:hAnsi="Garamond" w:cstheme="majorBidi"/>
          <w:i/>
          <w:iCs/>
          <w:sz w:val="24"/>
          <w:szCs w:val="24"/>
          <w:lang w:val="id-ID"/>
        </w:rPr>
        <w:t>.</w:t>
      </w:r>
      <w:r>
        <w:rPr>
          <w:rFonts w:ascii="Garamond" w:hAnsi="Garamond" w:cstheme="majorBidi"/>
          <w:i/>
          <w:iCs/>
          <w:sz w:val="24"/>
          <w:szCs w:val="24"/>
          <w:lang w:val="id-ID"/>
        </w:rPr>
        <w:t>”</w:t>
      </w:r>
      <w:r w:rsidR="00E55D3B" w:rsidRPr="00060A7D">
        <w:rPr>
          <w:rStyle w:val="FootnoteReference"/>
          <w:rFonts w:ascii="Garamond" w:hAnsi="Garamond"/>
          <w:sz w:val="24"/>
          <w:szCs w:val="24"/>
        </w:rPr>
        <w:fldChar w:fldCharType="begin" w:fldLock="1"/>
      </w:r>
      <w:r w:rsidR="00EC1D80" w:rsidRPr="00060A7D">
        <w:rPr>
          <w:rFonts w:ascii="Garamond" w:hAnsi="Garamond"/>
          <w:sz w:val="24"/>
          <w:szCs w:val="24"/>
        </w:rPr>
        <w:instrText>ADDIN CSL_CITATION {"citationItems":[{"id":"ITEM-1","itemData":{"ISBN":"9780197200032","author":[{"dropping-particle":"","family":"Taji-Farouki","given":"S","non-dropping-particle":"","parse-names":false,"suffix":""},{"dropping-particle":"","family":"Studies","given":"Institute of Ismaili","non-dropping-particle":"","parse-names":false,"suffix":""}],"collection-title":"Qur'anic Studies Series","id":"ITEM-1","issued":{"date-parts":[["2006"]]},"publisher":"OUP","title":"Modern Muslim Intellectuals and the Qur'an","type":"book"},"uris":["http://www.mendeley.com/documents/?uuid=1ba128a5-5eaa-48fe-b9b7-4aeec7fbd142"]}],"mendeley":{"formattedCitation":"(Taji-Farouki &amp; Studies, 2006)","plainTextFormattedCitation":"(Taji-Farouki &amp; Studies, 2006)","previouslyFormattedCitation":"(Taji-Farouki &amp; Studies, 2006)"},"properties":{"noteIndex":0},"schema":"https://github.com/citation-style-language/schema/raw/master/csl-citation.json"}</w:instrText>
      </w:r>
      <w:r w:rsidR="00E55D3B" w:rsidRPr="00060A7D">
        <w:rPr>
          <w:rStyle w:val="FootnoteReference"/>
          <w:rFonts w:ascii="Garamond" w:hAnsi="Garamond"/>
          <w:sz w:val="24"/>
          <w:szCs w:val="24"/>
        </w:rPr>
        <w:fldChar w:fldCharType="separate"/>
      </w:r>
      <w:r w:rsidR="00E55D3B" w:rsidRPr="00060A7D">
        <w:rPr>
          <w:rFonts w:ascii="Garamond" w:hAnsi="Garamond"/>
          <w:noProof/>
          <w:sz w:val="24"/>
          <w:szCs w:val="24"/>
        </w:rPr>
        <w:t>(Taji-Farouki &amp; Studies, 2006)</w:t>
      </w:r>
      <w:r w:rsidR="00E55D3B" w:rsidRPr="00060A7D">
        <w:rPr>
          <w:rStyle w:val="FootnoteReference"/>
          <w:rFonts w:ascii="Garamond" w:hAnsi="Garamond"/>
          <w:sz w:val="24"/>
          <w:szCs w:val="24"/>
        </w:rPr>
        <w:fldChar w:fldCharType="end"/>
      </w:r>
    </w:p>
    <w:p w14:paraId="2392C373" w14:textId="0C999A08" w:rsidR="00F113E2" w:rsidRPr="00060A7D" w:rsidRDefault="00F113E2" w:rsidP="00060A7D">
      <w:pPr>
        <w:pStyle w:val="NoSpacing"/>
        <w:spacing w:line="360" w:lineRule="auto"/>
        <w:ind w:firstLine="851"/>
        <w:jc w:val="both"/>
        <w:rPr>
          <w:rFonts w:ascii="Garamond" w:hAnsi="Garamond" w:cstheme="majorBidi"/>
          <w:sz w:val="24"/>
          <w:szCs w:val="24"/>
        </w:rPr>
      </w:pPr>
      <w:r w:rsidRPr="00060A7D">
        <w:rPr>
          <w:rFonts w:ascii="Garamond" w:hAnsi="Garamond" w:cstheme="majorBidi"/>
          <w:sz w:val="24"/>
          <w:szCs w:val="24"/>
          <w:lang w:val="id-ID"/>
        </w:rPr>
        <w:t xml:space="preserve">Fazlur Rahman mendefinisikan mengenai sebuah etika, Dia memposisikan hal tersebut bukan hanya sebagai hakikat inti dalam kajian Al-Qur’an, akan tetapi lebih komprehensif dari hal itu dengan memunculkan faktor umum universal secara sadar ada pada individu manusia. </w:t>
      </w:r>
      <w:r w:rsidRPr="00060A7D">
        <w:rPr>
          <w:rFonts w:ascii="Garamond" w:hAnsi="Garamond" w:cstheme="majorBidi"/>
          <w:i/>
          <w:iCs/>
          <w:sz w:val="24"/>
          <w:szCs w:val="24"/>
          <w:lang w:val="id-ID"/>
        </w:rPr>
        <w:t xml:space="preserve">Ethico Legal </w:t>
      </w:r>
      <w:r w:rsidRPr="00060A7D">
        <w:rPr>
          <w:rFonts w:ascii="Garamond" w:hAnsi="Garamond" w:cstheme="majorBidi"/>
          <w:sz w:val="24"/>
          <w:szCs w:val="24"/>
          <w:lang w:val="id-ID"/>
        </w:rPr>
        <w:t xml:space="preserve">yang benar tidak bisa untuk dirubah, itu adalah simbol dari perintah Tuhan yang Maha Kuasa kepada manusia. </w:t>
      </w:r>
      <w:proofErr w:type="spellStart"/>
      <w:r w:rsidRPr="00060A7D">
        <w:rPr>
          <w:rFonts w:ascii="Garamond" w:hAnsi="Garamond" w:cstheme="majorBidi"/>
          <w:sz w:val="24"/>
          <w:szCs w:val="24"/>
        </w:rPr>
        <w:t>Ketundukan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terhadap</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itulah</w:t>
      </w:r>
      <w:proofErr w:type="spellEnd"/>
      <w:r w:rsidRPr="00060A7D">
        <w:rPr>
          <w:rFonts w:ascii="Garamond" w:hAnsi="Garamond" w:cstheme="majorBidi"/>
          <w:sz w:val="24"/>
          <w:szCs w:val="24"/>
        </w:rPr>
        <w:t xml:space="preserve"> yang </w:t>
      </w:r>
      <w:proofErr w:type="spellStart"/>
      <w:r w:rsidRPr="00060A7D">
        <w:rPr>
          <w:rFonts w:ascii="Garamond" w:hAnsi="Garamond" w:cstheme="majorBidi"/>
          <w:sz w:val="24"/>
          <w:szCs w:val="24"/>
        </w:rPr>
        <w:t>kita</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kenal</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dengan</w:t>
      </w:r>
      <w:proofErr w:type="spellEnd"/>
      <w:r w:rsidRPr="00060A7D">
        <w:rPr>
          <w:rFonts w:ascii="Garamond" w:hAnsi="Garamond" w:cstheme="majorBidi"/>
          <w:sz w:val="24"/>
          <w:szCs w:val="24"/>
        </w:rPr>
        <w:t xml:space="preserve"> “Islam” dan </w:t>
      </w:r>
      <w:proofErr w:type="spellStart"/>
      <w:r w:rsidRPr="00060A7D">
        <w:rPr>
          <w:rFonts w:ascii="Garamond" w:hAnsi="Garamond" w:cstheme="majorBidi"/>
          <w:sz w:val="24"/>
          <w:szCs w:val="24"/>
        </w:rPr>
        <w:t>perwujudan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dari</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hal</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tersebut</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diketahui</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sebagai</w:t>
      </w:r>
      <w:proofErr w:type="spellEnd"/>
      <w:r w:rsidRPr="00060A7D">
        <w:rPr>
          <w:rFonts w:ascii="Garamond" w:hAnsi="Garamond" w:cstheme="majorBidi"/>
          <w:sz w:val="24"/>
          <w:szCs w:val="24"/>
        </w:rPr>
        <w:t xml:space="preserve"> “ibadah”. </w:t>
      </w:r>
      <w:proofErr w:type="spellStart"/>
      <w:r w:rsidRPr="00060A7D">
        <w:rPr>
          <w:rFonts w:ascii="Garamond" w:hAnsi="Garamond" w:cstheme="majorBidi"/>
          <w:sz w:val="24"/>
          <w:szCs w:val="24"/>
        </w:rPr>
        <w:t>Berkenaan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dengan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urgensi</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etika</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Alquran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ini</w:t>
      </w:r>
      <w:proofErr w:type="spellEnd"/>
      <w:r w:rsidRPr="00060A7D">
        <w:rPr>
          <w:rFonts w:ascii="Garamond" w:hAnsi="Garamond" w:cstheme="majorBidi"/>
          <w:sz w:val="24"/>
          <w:szCs w:val="24"/>
        </w:rPr>
        <w:t xml:space="preserve"> Fazlur Rahman </w:t>
      </w:r>
      <w:proofErr w:type="spellStart"/>
      <w:r w:rsidRPr="00060A7D">
        <w:rPr>
          <w:rFonts w:ascii="Garamond" w:hAnsi="Garamond" w:cstheme="majorBidi"/>
          <w:sz w:val="24"/>
          <w:szCs w:val="24"/>
        </w:rPr>
        <w:t>menulis</w:t>
      </w:r>
      <w:proofErr w:type="spellEnd"/>
      <w:r w:rsidRPr="00060A7D">
        <w:rPr>
          <w:rFonts w:ascii="Garamond" w:hAnsi="Garamond" w:cstheme="majorBidi"/>
          <w:sz w:val="24"/>
          <w:szCs w:val="24"/>
        </w:rPr>
        <w:t xml:space="preserve">: </w:t>
      </w:r>
    </w:p>
    <w:p w14:paraId="5060E280" w14:textId="5F790C4C" w:rsidR="00F113E2" w:rsidRPr="00060A7D" w:rsidRDefault="00060A7D" w:rsidP="00060A7D">
      <w:pPr>
        <w:pStyle w:val="NoSpacing"/>
        <w:spacing w:after="120"/>
        <w:ind w:left="851" w:right="849"/>
        <w:jc w:val="both"/>
        <w:rPr>
          <w:rFonts w:ascii="Garamond" w:hAnsi="Garamond" w:cstheme="majorBidi"/>
          <w:i/>
          <w:iCs/>
          <w:sz w:val="24"/>
          <w:szCs w:val="24"/>
          <w:lang w:val="id-ID"/>
        </w:rPr>
      </w:pPr>
      <w:r>
        <w:rPr>
          <w:rFonts w:ascii="Garamond" w:hAnsi="Garamond" w:cstheme="majorBidi"/>
          <w:i/>
          <w:iCs/>
          <w:sz w:val="24"/>
          <w:szCs w:val="24"/>
        </w:rPr>
        <w:t>“</w:t>
      </w:r>
      <w:r w:rsidR="00F113E2" w:rsidRPr="00060A7D">
        <w:rPr>
          <w:rFonts w:ascii="Garamond" w:hAnsi="Garamond" w:cstheme="majorBidi"/>
          <w:i/>
          <w:iCs/>
          <w:sz w:val="24"/>
          <w:szCs w:val="24"/>
        </w:rPr>
        <w:t xml:space="preserve">Muslim scholars have never attempted an ethics of the Qur’an, systematically or otherwise. Yet no one has done any </w:t>
      </w:r>
      <w:proofErr w:type="spellStart"/>
      <w:r w:rsidR="00F113E2" w:rsidRPr="00060A7D">
        <w:rPr>
          <w:rFonts w:ascii="Garamond" w:hAnsi="Garamond" w:cstheme="majorBidi"/>
          <w:i/>
          <w:iCs/>
          <w:sz w:val="24"/>
          <w:szCs w:val="24"/>
        </w:rPr>
        <w:t>carteful</w:t>
      </w:r>
      <w:proofErr w:type="spellEnd"/>
      <w:r w:rsidR="00F113E2" w:rsidRPr="00060A7D">
        <w:rPr>
          <w:rFonts w:ascii="Garamond" w:hAnsi="Garamond" w:cstheme="majorBidi"/>
          <w:i/>
          <w:iCs/>
          <w:sz w:val="24"/>
          <w:szCs w:val="24"/>
        </w:rPr>
        <w:t xml:space="preserve"> study of the Qur’an can fail to be impressed by </w:t>
      </w:r>
      <w:proofErr w:type="spellStart"/>
      <w:proofErr w:type="gramStart"/>
      <w:r w:rsidR="00F113E2" w:rsidRPr="00060A7D">
        <w:rPr>
          <w:rFonts w:ascii="Garamond" w:hAnsi="Garamond" w:cstheme="majorBidi"/>
          <w:i/>
          <w:iCs/>
          <w:sz w:val="24"/>
          <w:szCs w:val="24"/>
        </w:rPr>
        <w:t>it’s</w:t>
      </w:r>
      <w:proofErr w:type="spellEnd"/>
      <w:proofErr w:type="gramEnd"/>
      <w:r w:rsidR="00F113E2" w:rsidRPr="00060A7D">
        <w:rPr>
          <w:rFonts w:ascii="Garamond" w:hAnsi="Garamond" w:cstheme="majorBidi"/>
          <w:i/>
          <w:iCs/>
          <w:sz w:val="24"/>
          <w:szCs w:val="24"/>
        </w:rPr>
        <w:t xml:space="preserve"> ethical fervor. Its ethics, </w:t>
      </w:r>
      <w:proofErr w:type="spellStart"/>
      <w:r w:rsidR="00F113E2" w:rsidRPr="00060A7D">
        <w:rPr>
          <w:rFonts w:ascii="Garamond" w:hAnsi="Garamond" w:cstheme="majorBidi"/>
          <w:i/>
          <w:iCs/>
          <w:sz w:val="24"/>
          <w:szCs w:val="24"/>
        </w:rPr>
        <w:t>inkdeed</w:t>
      </w:r>
      <w:proofErr w:type="spellEnd"/>
      <w:r w:rsidR="00F113E2" w:rsidRPr="00060A7D">
        <w:rPr>
          <w:rFonts w:ascii="Garamond" w:hAnsi="Garamond" w:cstheme="majorBidi"/>
          <w:i/>
          <w:iCs/>
          <w:sz w:val="24"/>
          <w:szCs w:val="24"/>
        </w:rPr>
        <w:t xml:space="preserve">, is its essence, and </w:t>
      </w:r>
      <w:proofErr w:type="spellStart"/>
      <w:r w:rsidR="00F113E2" w:rsidRPr="00060A7D">
        <w:rPr>
          <w:rFonts w:ascii="Garamond" w:hAnsi="Garamond" w:cstheme="majorBidi"/>
          <w:i/>
          <w:iCs/>
          <w:sz w:val="24"/>
          <w:szCs w:val="24"/>
        </w:rPr>
        <w:t>its</w:t>
      </w:r>
      <w:proofErr w:type="spellEnd"/>
      <w:r w:rsidR="00F113E2" w:rsidRPr="00060A7D">
        <w:rPr>
          <w:rFonts w:ascii="Garamond" w:hAnsi="Garamond" w:cstheme="majorBidi"/>
          <w:i/>
          <w:iCs/>
          <w:sz w:val="24"/>
          <w:szCs w:val="24"/>
        </w:rPr>
        <w:t xml:space="preserve"> also the necessary link between theology and law.</w:t>
      </w:r>
      <w:r>
        <w:rPr>
          <w:rFonts w:ascii="Garamond" w:hAnsi="Garamond" w:cstheme="majorBidi"/>
          <w:i/>
          <w:iCs/>
          <w:sz w:val="24"/>
          <w:szCs w:val="24"/>
        </w:rPr>
        <w:t>”</w:t>
      </w:r>
      <w:r w:rsidR="00E55D3B" w:rsidRPr="00060A7D">
        <w:rPr>
          <w:rStyle w:val="FootnoteReference"/>
          <w:rFonts w:ascii="Garamond" w:hAnsi="Garamond"/>
          <w:sz w:val="24"/>
          <w:szCs w:val="24"/>
        </w:rPr>
        <w:fldChar w:fldCharType="begin" w:fldLock="1"/>
      </w:r>
      <w:r w:rsidR="00EC1D80" w:rsidRPr="00060A7D">
        <w:rPr>
          <w:rFonts w:ascii="Garamond" w:hAnsi="Garamond"/>
          <w:sz w:val="24"/>
          <w:szCs w:val="24"/>
        </w:rPr>
        <w:instrText>ADDIN CSL_CITATION {"citationItems":[{"id":"ITEM-1","itemData":{"abstract":"This study discusses to Fazlur Rahman's thoughts on Qur'anic ethics, because experts often mention that ethics is not only the basic elan of the Quran (essence in the teachings of Alquran), but also is a universal aspect that exists in every human being. This study uses a qualitative descriptive approach by basing its reading on the existing literature of Fazlur Rahman's works. The results of preliminary research indicate that ethics are integrated in God's relationship, human, and nature that cannot be separated from each other. So the first ethics mentioned in terms of the relationship between God, human beings and nature is conceptualized in the values of security. Therefore the first person must believe in God in all his attitudes by realizing various virtues. So humans carry out the mandate as caliphs on this earth (khafilah fi al-ard). Abstrak","author":[{"dropping-particle":"","family":"Maraimbang","given":"","non-dropping-particle":"","parse-names":false,"suffix":""}],"container-title":"Ibn Abbas: Jurnal Ilmu Al-Qur'an dan Tafsir","id":"ITEM-1","issue":"2","issued":{"date-parts":[["2018"]]},"page":"148-167","title":"Etika Al-Qur'an Menurut Fazlur Rahman: Konsepsi Iman","type":"article-journal","volume":"1"},"uris":["http://www.mendeley.com/documents/?uuid=4597327b-9461-4313-9612-41e60803204d"]}],"mendeley":{"formattedCitation":"(Maraimbang, 2018)","plainTextFormattedCitation":"(Maraimbang, 2018)","previouslyFormattedCitation":"(Maraimbang, 2018)"},"properties":{"noteIndex":0},"schema":"https://github.com/citation-style-language/schema/raw/master/csl-citation.json"}</w:instrText>
      </w:r>
      <w:r w:rsidR="00E55D3B" w:rsidRPr="00060A7D">
        <w:rPr>
          <w:rStyle w:val="FootnoteReference"/>
          <w:rFonts w:ascii="Garamond" w:hAnsi="Garamond"/>
          <w:sz w:val="24"/>
          <w:szCs w:val="24"/>
        </w:rPr>
        <w:fldChar w:fldCharType="separate"/>
      </w:r>
      <w:r w:rsidR="00E55D3B" w:rsidRPr="00060A7D">
        <w:rPr>
          <w:rFonts w:ascii="Garamond" w:hAnsi="Garamond"/>
          <w:noProof/>
          <w:sz w:val="24"/>
          <w:szCs w:val="24"/>
        </w:rPr>
        <w:t>(Maraimbang, 2018)</w:t>
      </w:r>
      <w:r w:rsidR="00E55D3B" w:rsidRPr="00060A7D">
        <w:rPr>
          <w:rStyle w:val="FootnoteReference"/>
          <w:rFonts w:ascii="Garamond" w:hAnsi="Garamond"/>
          <w:sz w:val="24"/>
          <w:szCs w:val="24"/>
        </w:rPr>
        <w:fldChar w:fldCharType="end"/>
      </w:r>
    </w:p>
    <w:p w14:paraId="2FDE2C88" w14:textId="75309C65" w:rsidR="00F113E2" w:rsidRPr="00060A7D" w:rsidRDefault="00F113E2" w:rsidP="00060A7D">
      <w:pPr>
        <w:pStyle w:val="NoSpacing"/>
        <w:spacing w:line="360" w:lineRule="auto"/>
        <w:ind w:firstLine="851"/>
        <w:jc w:val="both"/>
        <w:rPr>
          <w:rFonts w:ascii="Garamond" w:hAnsi="Garamond" w:cstheme="majorBidi"/>
          <w:sz w:val="24"/>
          <w:szCs w:val="24"/>
          <w:lang w:val="id-ID"/>
        </w:rPr>
      </w:pPr>
      <w:r w:rsidRPr="00060A7D">
        <w:rPr>
          <w:rFonts w:ascii="Garamond" w:hAnsi="Garamond" w:cstheme="majorBidi"/>
          <w:sz w:val="24"/>
          <w:szCs w:val="24"/>
          <w:lang w:val="id-ID"/>
        </w:rPr>
        <w:t>Rahman menyatakan keprihatinan atas kurangnya perhatian terhadap etika sebagai cabang ilmu dalam Islam, yang sering kali dikembangkan di luar kerangka disiplin syariat dan bergantung pada sumber-sumber non-Islam Hal ini disayangkan karena Al-Qur'an sebenarnya banyak membahas etika, namun pembahasannya sering kali berkembang secara terpisah dari disiplin syariah. Keberadaan jarak yang signifikan antara etika dan hukum serta teologi dalam Islam menjadi masalah utama yang diidentifikasi oleh Rahman. Menurutnya, pendekatan atomistik dalam penafsiran teks etika dan hukum Al-Qur'an sering kali menghasilkan kebingungan, karena hukum Islam cenderung menyamakan proposisi moral Al-Qur'an dengan hukum tanpa mempertimbangkan prinsip-prinsip moral yang lebih tinggi</w:t>
      </w:r>
      <w:r w:rsidR="00CA47EB" w:rsidRPr="00060A7D">
        <w:rPr>
          <w:rFonts w:ascii="Garamond" w:hAnsi="Garamond" w:cstheme="majorBidi"/>
          <w:sz w:val="24"/>
          <w:szCs w:val="24"/>
          <w:lang w:val="id-ID"/>
        </w:rPr>
        <w:t xml:space="preserve"> </w:t>
      </w:r>
      <w:r w:rsidR="00CA47EB" w:rsidRPr="00060A7D">
        <w:rPr>
          <w:rFonts w:ascii="Garamond" w:hAnsi="Garamond" w:cstheme="majorBidi"/>
          <w:sz w:val="24"/>
          <w:szCs w:val="24"/>
          <w:lang w:val="id-ID"/>
        </w:rPr>
        <w:fldChar w:fldCharType="begin" w:fldLock="1"/>
      </w:r>
      <w:r w:rsidR="00595B54" w:rsidRPr="00060A7D">
        <w:rPr>
          <w:rFonts w:ascii="Garamond" w:hAnsi="Garamond" w:cstheme="majorBidi"/>
          <w:sz w:val="24"/>
          <w:szCs w:val="24"/>
          <w:lang w:val="id-ID"/>
        </w:rPr>
        <w:instrText>ADDIN CSL_CITATION {"citationItems":[{"id":"ITEM-1","itemData":{"author":[{"dropping-particle":"","family":"Agustono","given":"Ihwan","non-dropping-particle":"","parse-names":false,"suffix":""},{"dropping-particle":"","family":"Zain","given":"Naura Safira Salsabila","non-dropping-particle":"","parse-names":false,"suffix":""}],"container-title":"Al Hikmah: Jurnal Studi Keislaman","id":"ITEM-1","issue":"2","issued":{"date-parts":[["2023"]]},"page":"63-78","title":"Fazlur Rahman's Perspective On The Concept Of An Islamic State In The Qur’an","type":"article-journal","volume":"13"},"uris":["http://www.mendeley.com/documents/?uuid=98f64f7c-247a-4918-8b8e-950daa57999b"]}],"mendeley":{"formattedCitation":"(Agustono &amp; Zain, 2023)","plainTextFormattedCitation":"(Agustono &amp; Zain, 2023)","previouslyFormattedCitation":"(Agustono &amp; Zain, 2023)"},"properties":{"noteIndex":0},"schema":"https://github.com/citation-style-language/schema/raw/master/csl-citation.json"}</w:instrText>
      </w:r>
      <w:r w:rsidR="00CA47EB" w:rsidRPr="00060A7D">
        <w:rPr>
          <w:rFonts w:ascii="Garamond" w:hAnsi="Garamond" w:cstheme="majorBidi"/>
          <w:sz w:val="24"/>
          <w:szCs w:val="24"/>
          <w:lang w:val="id-ID"/>
        </w:rPr>
        <w:fldChar w:fldCharType="separate"/>
      </w:r>
      <w:r w:rsidR="00CA47EB" w:rsidRPr="00060A7D">
        <w:rPr>
          <w:rFonts w:ascii="Garamond" w:hAnsi="Garamond" w:cstheme="majorBidi"/>
          <w:noProof/>
          <w:sz w:val="24"/>
          <w:szCs w:val="24"/>
          <w:lang w:val="id-ID"/>
        </w:rPr>
        <w:t>(Agustono &amp; Zain, 2023)</w:t>
      </w:r>
      <w:r w:rsidR="00CA47EB" w:rsidRPr="00060A7D">
        <w:rPr>
          <w:rFonts w:ascii="Garamond" w:hAnsi="Garamond" w:cstheme="majorBidi"/>
          <w:sz w:val="24"/>
          <w:szCs w:val="24"/>
          <w:lang w:val="id-ID"/>
        </w:rPr>
        <w:fldChar w:fldCharType="end"/>
      </w:r>
      <w:r w:rsidRPr="00060A7D">
        <w:rPr>
          <w:rFonts w:ascii="Garamond" w:hAnsi="Garamond" w:cstheme="majorBidi"/>
          <w:sz w:val="24"/>
          <w:szCs w:val="24"/>
          <w:lang w:val="id-ID"/>
        </w:rPr>
        <w:t xml:space="preserve">. </w:t>
      </w:r>
    </w:p>
    <w:p w14:paraId="795F23B0" w14:textId="7BB6E5CA" w:rsidR="00F113E2" w:rsidRPr="00060A7D" w:rsidRDefault="00F113E2" w:rsidP="00060A7D">
      <w:pPr>
        <w:pStyle w:val="NoSpacing"/>
        <w:spacing w:line="360" w:lineRule="auto"/>
        <w:ind w:firstLine="851"/>
        <w:jc w:val="both"/>
        <w:rPr>
          <w:rFonts w:ascii="Garamond" w:hAnsi="Garamond" w:cstheme="majorBidi"/>
          <w:sz w:val="24"/>
          <w:szCs w:val="24"/>
          <w:lang w:val="id-ID"/>
        </w:rPr>
      </w:pPr>
      <w:r w:rsidRPr="00060A7D">
        <w:rPr>
          <w:rFonts w:ascii="Garamond" w:hAnsi="Garamond" w:cstheme="majorBidi"/>
          <w:sz w:val="24"/>
          <w:szCs w:val="24"/>
          <w:lang w:val="id-ID"/>
        </w:rPr>
        <w:t>Rahman mendorong penggunaan pendekatan penafsiran proto-kontekstual yang mempertimbangkan konteks wahyu dan masyarakat Islam saat ini. Dia menentang pendekatan tradisional yang cenderung menafsirkan Al-Qur'an secara terpisah dari konteks luasnya, termasuk latar belakang budaya dan nilai-nilai masyarakat Arab pada masa Nabi</w:t>
      </w:r>
      <w:r w:rsidR="00C87944" w:rsidRPr="00060A7D">
        <w:rPr>
          <w:rFonts w:ascii="Garamond" w:hAnsi="Garamond" w:cstheme="majorBidi"/>
          <w:sz w:val="24"/>
          <w:szCs w:val="24"/>
          <w:lang w:val="id-ID"/>
        </w:rPr>
        <w:t xml:space="preserve"> </w:t>
      </w:r>
      <w:r w:rsidRPr="00060A7D">
        <w:rPr>
          <w:rFonts w:ascii="Garamond" w:hAnsi="Garamond" w:cstheme="majorBidi"/>
          <w:sz w:val="24"/>
          <w:szCs w:val="24"/>
          <w:lang w:val="id-ID"/>
        </w:rPr>
        <w:t xml:space="preserve">. </w:t>
      </w:r>
      <w:r w:rsidRPr="00060A7D">
        <w:rPr>
          <w:rFonts w:ascii="Garamond" w:hAnsi="Garamond" w:cstheme="majorBidi"/>
          <w:sz w:val="24"/>
          <w:szCs w:val="24"/>
          <w:lang w:val="id-ID"/>
        </w:rPr>
        <w:lastRenderedPageBreak/>
        <w:t>Rahman memandang bahwa penafsiran Al-Qur'an perlu dipertimbangkan kembali karena kekakuan penafsiran tradisional telah menghasilkan hukum yang kuno dan tidak relevan dengan tantangan modern.</w:t>
      </w:r>
      <w:r w:rsidR="00E55D3B" w:rsidRPr="00060A7D">
        <w:rPr>
          <w:rStyle w:val="FootnoteReference"/>
          <w:rFonts w:ascii="Garamond" w:hAnsi="Garamond"/>
          <w:sz w:val="24"/>
          <w:szCs w:val="24"/>
        </w:rPr>
        <w:fldChar w:fldCharType="begin" w:fldLock="1"/>
      </w:r>
      <w:r w:rsidR="00EC1D80" w:rsidRPr="00060A7D">
        <w:rPr>
          <w:rFonts w:ascii="Garamond" w:hAnsi="Garamond"/>
          <w:sz w:val="24"/>
          <w:szCs w:val="24"/>
        </w:rPr>
        <w:instrText>ADDIN CSL_CITATION {"citationItems":[{"id":"ITEM-1","itemData":{"ISBN":"9780197200032","author":[{"dropping-particle":"","family":"Taji-Farouki","given":"S","non-dropping-particle":"","parse-names":false,"suffix":""},{"dropping-particle":"","family":"Studies","given":"Institute of Ismaili","non-dropping-particle":"","parse-names":false,"suffix":""}],"collection-title":"Qur'anic Studies Series","id":"ITEM-1","issued":{"date-parts":[["2006"]]},"publisher":"OUP","title":"Modern Muslim Intellectuals and the Qur'an","type":"book"},"uris":["http://www.mendeley.com/documents/?uuid=1ba128a5-5eaa-48fe-b9b7-4aeec7fbd142"]}],"mendeley":{"formattedCitation":"(Taji-Farouki &amp; Studies, 2006)","plainTextFormattedCitation":"(Taji-Farouki &amp; Studies, 2006)","previouslyFormattedCitation":"(Taji-Farouki &amp; Studies, 2006)"},"properties":{"noteIndex":0},"schema":"https://github.com/citation-style-language/schema/raw/master/csl-citation.json"}</w:instrText>
      </w:r>
      <w:r w:rsidR="00E55D3B" w:rsidRPr="00060A7D">
        <w:rPr>
          <w:rStyle w:val="FootnoteReference"/>
          <w:rFonts w:ascii="Garamond" w:hAnsi="Garamond"/>
          <w:sz w:val="24"/>
          <w:szCs w:val="24"/>
        </w:rPr>
        <w:fldChar w:fldCharType="separate"/>
      </w:r>
      <w:r w:rsidR="00E55D3B" w:rsidRPr="00060A7D">
        <w:rPr>
          <w:rFonts w:ascii="Garamond" w:hAnsi="Garamond"/>
          <w:noProof/>
          <w:sz w:val="24"/>
          <w:szCs w:val="24"/>
        </w:rPr>
        <w:t>(Taji-Farouki &amp; Studies, 2006)</w:t>
      </w:r>
      <w:r w:rsidR="00E55D3B" w:rsidRPr="00060A7D">
        <w:rPr>
          <w:rStyle w:val="FootnoteReference"/>
          <w:rFonts w:ascii="Garamond" w:hAnsi="Garamond"/>
          <w:sz w:val="24"/>
          <w:szCs w:val="24"/>
        </w:rPr>
        <w:fldChar w:fldCharType="end"/>
      </w:r>
    </w:p>
    <w:p w14:paraId="4AD9452A" w14:textId="6156B229" w:rsidR="00532C69" w:rsidRPr="00060A7D" w:rsidRDefault="00F113E2" w:rsidP="00060A7D">
      <w:pPr>
        <w:pStyle w:val="NoSpacing"/>
        <w:spacing w:line="360" w:lineRule="auto"/>
        <w:ind w:firstLine="851"/>
        <w:jc w:val="both"/>
        <w:rPr>
          <w:rFonts w:ascii="Garamond" w:hAnsi="Garamond" w:cstheme="majorBidi"/>
          <w:sz w:val="24"/>
          <w:szCs w:val="24"/>
          <w:lang w:val="id-ID"/>
        </w:rPr>
      </w:pPr>
      <w:r w:rsidRPr="00060A7D">
        <w:rPr>
          <w:rFonts w:ascii="Garamond" w:hAnsi="Garamond" w:cstheme="majorBidi"/>
          <w:sz w:val="24"/>
          <w:szCs w:val="24"/>
          <w:lang w:val="id-ID"/>
        </w:rPr>
        <w:t>Rahman menekankan pentingnya memperhatikan konteks historis wahyu Al-Qur'an dalam penafsiran, serta menggabungkan nilai-nilai seperti keadilan sosial dan prinsip moral. Rahman juga menekankan perlunya menggunakan hadis secara hati-hati dalam penafsiran. Pendekatannya mencakup enam elemen kunci: wahyu dan konteks sosiohistorisnya, cita-cita/kontingen, keadilan sosial, prinsip-prinsip moral, penggunaan hadis secara hati-hati, dan menghubungkan masa lalu dan masa kini</w:t>
      </w:r>
      <w:r w:rsidR="00C87944" w:rsidRPr="00060A7D">
        <w:rPr>
          <w:rFonts w:ascii="Garamond" w:hAnsi="Garamond" w:cstheme="majorBidi"/>
          <w:sz w:val="24"/>
          <w:szCs w:val="24"/>
          <w:lang w:val="id-ID"/>
        </w:rPr>
        <w:t xml:space="preserve"> </w:t>
      </w:r>
      <w:r w:rsidR="00C87944" w:rsidRPr="00060A7D">
        <w:rPr>
          <w:rFonts w:ascii="Garamond" w:hAnsi="Garamond" w:cstheme="majorBidi"/>
          <w:sz w:val="24"/>
          <w:szCs w:val="24"/>
          <w:lang w:val="id-ID"/>
        </w:rPr>
        <w:fldChar w:fldCharType="begin" w:fldLock="1"/>
      </w:r>
      <w:r w:rsidR="00C87944" w:rsidRPr="00060A7D">
        <w:rPr>
          <w:rFonts w:ascii="Garamond" w:hAnsi="Garamond" w:cstheme="majorBidi"/>
          <w:sz w:val="24"/>
          <w:szCs w:val="24"/>
          <w:lang w:val="id-ID"/>
        </w:rPr>
        <w:instrText>ADDIN CSL_CITATION {"citationItems":[{"id":"ITEM-1","itemData":{"DOI":"10.61231/jie.v3i1.332","abstract":"This study aims to analyze Fazlur Rahman's contextual interpretation method, known as the \"Double Movement\" approach, in bridging the teachings of the Qur'an with the needs of the modern era. The research employs a historical-critical method, linking the social, cultural, and historical contexts of revelation with the application of moral values in contemporary times. The findings reveal that this method, through its two main stages analyzing the historical context of revelation and applying moral principles to the present effectively provides a more relevant understanding of the Qur'anic teachings. Examples of its application to issues such as the prohibition of alcohol and polygamy underscore the importance of a gradual approach in addressing the social conditions of the time when the revelations were revealed. Fazlur Rahman also emphasizes the necessity of integrating theology, ethics, and law to address modern challenges without losing the essence of the Qur'an's universal values. The study concludes that this method offers an interpretation that is progressive, just, and aligned with contemporary developments.","author":[{"dropping-particle":"","family":"Kholifatin","given":"Luluk Indah","non-dropping-particle":"","parse-names":false,"suffix":""}],"container-title":"Journal of Islamic Education","id":"ITEM-1","issue":"1","issued":{"date-parts":[["2025","5","30"]]},"page":"1-12","title":"Metode Pendekatan Tafsir Kontekstual Prespektif Fazlur Rahman","type":"article-journal","volume":"3"},"uris":["http://www.mendeley.com/documents/?uuid=57ce196c-678e-41f0-b48a-a9555eb3bbdf"]}],"mendeley":{"formattedCitation":"(Kholifatin, 2025)","plainTextFormattedCitation":"(Kholifatin, 2025)","previouslyFormattedCitation":"(Kholifatin, 2025)"},"properties":{"noteIndex":0},"schema":"https://github.com/citation-style-language/schema/raw/master/csl-citation.json"}</w:instrText>
      </w:r>
      <w:r w:rsidR="00C87944" w:rsidRPr="00060A7D">
        <w:rPr>
          <w:rFonts w:ascii="Garamond" w:hAnsi="Garamond" w:cstheme="majorBidi"/>
          <w:sz w:val="24"/>
          <w:szCs w:val="24"/>
          <w:lang w:val="id-ID"/>
        </w:rPr>
        <w:fldChar w:fldCharType="separate"/>
      </w:r>
      <w:r w:rsidR="00C87944" w:rsidRPr="00060A7D">
        <w:rPr>
          <w:rFonts w:ascii="Garamond" w:hAnsi="Garamond" w:cstheme="majorBidi"/>
          <w:noProof/>
          <w:sz w:val="24"/>
          <w:szCs w:val="24"/>
          <w:lang w:val="id-ID"/>
        </w:rPr>
        <w:t>(Kholifatin, 2025)</w:t>
      </w:r>
      <w:r w:rsidR="00C87944" w:rsidRPr="00060A7D">
        <w:rPr>
          <w:rFonts w:ascii="Garamond" w:hAnsi="Garamond" w:cstheme="majorBidi"/>
          <w:sz w:val="24"/>
          <w:szCs w:val="24"/>
          <w:lang w:val="id-ID"/>
        </w:rPr>
        <w:fldChar w:fldCharType="end"/>
      </w:r>
      <w:r w:rsidRPr="00060A7D">
        <w:rPr>
          <w:rFonts w:ascii="Garamond" w:hAnsi="Garamond" w:cstheme="majorBidi"/>
          <w:sz w:val="24"/>
          <w:szCs w:val="24"/>
          <w:lang w:val="id-ID"/>
        </w:rPr>
        <w:t>.</w:t>
      </w:r>
    </w:p>
    <w:p w14:paraId="279F0890" w14:textId="77777777" w:rsidR="00532C69" w:rsidRPr="00060A7D" w:rsidRDefault="00F113E2" w:rsidP="00060A7D">
      <w:pPr>
        <w:spacing w:after="0" w:line="360" w:lineRule="auto"/>
        <w:ind w:hanging="2"/>
        <w:rPr>
          <w:rFonts w:ascii="Garamond" w:hAnsi="Garamond" w:cstheme="majorBidi"/>
          <w:b/>
          <w:bCs/>
          <w:sz w:val="24"/>
          <w:szCs w:val="24"/>
        </w:rPr>
      </w:pPr>
      <w:r w:rsidRPr="00060A7D">
        <w:rPr>
          <w:rFonts w:ascii="Garamond" w:hAnsi="Garamond" w:cstheme="majorBidi"/>
          <w:b/>
          <w:bCs/>
          <w:sz w:val="24"/>
          <w:szCs w:val="24"/>
        </w:rPr>
        <w:t>Kritik Fazlur Rahman Mengenai Islam Tradisional</w:t>
      </w:r>
    </w:p>
    <w:p w14:paraId="10256286" w14:textId="0491467D" w:rsidR="00C966F1" w:rsidRPr="00060A7D" w:rsidRDefault="00C966F1" w:rsidP="00060A7D">
      <w:pPr>
        <w:spacing w:after="0" w:line="360" w:lineRule="auto"/>
        <w:ind w:left="-2" w:firstLineChars="355" w:firstLine="852"/>
        <w:jc w:val="both"/>
        <w:rPr>
          <w:rFonts w:ascii="Garamond" w:hAnsi="Garamond" w:cstheme="majorBidi"/>
          <w:sz w:val="24"/>
          <w:szCs w:val="24"/>
        </w:rPr>
      </w:pPr>
      <w:r w:rsidRPr="00060A7D">
        <w:rPr>
          <w:rFonts w:ascii="Garamond" w:hAnsi="Garamond" w:cstheme="majorBidi"/>
          <w:sz w:val="24"/>
          <w:szCs w:val="24"/>
        </w:rPr>
        <w:t>Fazlur Rahman merupakan salah satu pemikir Muslim modern yang dikenal karena kritik tajamnya terhadap metode keilmuan Islam tradisional, khususnya dalam hal penafsiran teks dan pengembangan hukum Islam. Kritik tersebut berangkat dari keprihatinannya terhadap stagnasi intelektual dalam dunia Islam yang, menurutnya, terjadi karena dominasi pendekatan tekstual-literal terhadap Al-Qur’an dan hadis</w:t>
      </w:r>
      <w:r w:rsidRPr="00060A7D">
        <w:rPr>
          <w:rFonts w:ascii="Garamond" w:hAnsi="Garamond" w:cstheme="majorBidi"/>
          <w:sz w:val="24"/>
          <w:szCs w:val="24"/>
          <w:lang w:val="en-US"/>
        </w:rPr>
        <w:t xml:space="preserve"> </w:t>
      </w:r>
      <w:r w:rsidRPr="00060A7D">
        <w:rPr>
          <w:rFonts w:ascii="Garamond" w:hAnsi="Garamond" w:cstheme="majorBidi"/>
          <w:sz w:val="24"/>
          <w:szCs w:val="24"/>
        </w:rPr>
        <w:fldChar w:fldCharType="begin" w:fldLock="1"/>
      </w:r>
      <w:r w:rsidRPr="00060A7D">
        <w:rPr>
          <w:rFonts w:ascii="Garamond" w:hAnsi="Garamond" w:cstheme="majorBidi"/>
          <w:sz w:val="24"/>
          <w:szCs w:val="24"/>
        </w:rPr>
        <w:instrText>ADDIN CSL_CITATION {"citationItems":[{"id":"ITEM-1","itemData":{"DOI":"10.48094/raudhah.v8i3.569","abstract":"Hermeneutika dalam arti sederhana adalah teori penafsiran teks yang digunakan untuk Bibel sehingga metode lnterpretasi telrhadap telks Alquran hilngga kilnil masilh dilperdebatkan. Hermeneutika sebagai metode interpretasi, ada menolak selcara telgas dan ada pula yang menerima yang menimbulkan pro dan kontra dildalamnya. Tujuan dari pembahasan ini adalah agar para akademisi lebih memahami bagaimana hermeneutika dan pemikiran-pemikiran Fazlurrahman dalam mengaplikasikan hermeneutika dalam penafsiran Alquran. Metode yang digunakan dalam dalam penelitian ini adalah penelitian kualitatif yang bersifat deskriptif. Penelitian ini juga menggunakan metode library research atau studi kepustakaan dengan pendekatan analisis data. Salah satu tokoh pertama yang melndukung hermenelutika adalah Fazlur Rahman, menurutnya sangat penting mengaplikasikan hermenelutika dalam studi Alquran. Khususnya dalam penafsiran untuk menangkap makna dan pesan moral secara komprehensif sehingga tercipta keterkaitan antara konteks ayat satu dengan konteks ayat yang lain. Fazlur Rahman menganggap metodologi yang berkembang selama ini dalam wilayah kajian Islam terasa keliling dan belum selmpurna. Dalam rangka memahami Alquran, ila menawarkan metodologis hermenelutika double movement (gerak ganda penafsiran) dalam rangka untuk melahirkan objektivitas dalam interpretasi yaitu dari permasalahan sekarang kepada saat Alquran diturunkan.","author":[{"dropping-particle":"","family":"Ramdhani","given":"Nazli Badrul Aini","non-dropping-particle":"","parse-names":false,"suffix":""},{"dropping-particle":"","family":"Insanissa'adah","given":"Mar'atul","non-dropping-particle":"","parse-names":false,"suffix":""},{"dropping-particle":"","family":"Pandu","given":"Pandu","non-dropping-particle":"","parse-names":false,"suffix":""},{"dropping-particle":"","family":"Gunawan","given":"Akmal Rizki","non-dropping-particle":"","parse-names":false,"suffix":""}],"container-title":"Raudhah Proud To Be Professionals : Jurnal Tarbiyah Islamiyah","id":"ITEM-1","issue":"3","issued":{"date-parts":[["2024","2","12"]]},"page":"1047-1057","title":"Pemikiran Fazlur Rahman Dalam Penggunaan Hermeneutika Dalam Tafsir Al-Qur’an","type":"article-journal","volume":"8"},"uris":["http://www.mendeley.com/documents/?uuid=5b8b0a4b-22c1-46da-b735-55a463e9f7a0"]}],"mendeley":{"formattedCitation":"(Ramdhani et al., 2024)","plainTextFormattedCitation":"(Ramdhani et al., 2024)","previouslyFormattedCitation":"(Ramdhani et al., 2024)"},"properties":{"noteIndex":0},"schema":"https://github.com/citation-style-language/schema/raw/master/csl-citation.json"}</w:instrText>
      </w:r>
      <w:r w:rsidRPr="00060A7D">
        <w:rPr>
          <w:rFonts w:ascii="Garamond" w:hAnsi="Garamond" w:cstheme="majorBidi"/>
          <w:sz w:val="24"/>
          <w:szCs w:val="24"/>
        </w:rPr>
        <w:fldChar w:fldCharType="separate"/>
      </w:r>
      <w:r w:rsidRPr="00060A7D">
        <w:rPr>
          <w:rFonts w:ascii="Garamond" w:hAnsi="Garamond" w:cstheme="majorBidi"/>
          <w:noProof/>
          <w:sz w:val="24"/>
          <w:szCs w:val="24"/>
        </w:rPr>
        <w:t>(Ramdhani et al., 2024)</w:t>
      </w:r>
      <w:r w:rsidRPr="00060A7D">
        <w:rPr>
          <w:rFonts w:ascii="Garamond" w:hAnsi="Garamond" w:cstheme="majorBidi"/>
          <w:sz w:val="24"/>
          <w:szCs w:val="24"/>
        </w:rPr>
        <w:fldChar w:fldCharType="end"/>
      </w:r>
      <w:r w:rsidRPr="00060A7D">
        <w:rPr>
          <w:rFonts w:ascii="Garamond" w:hAnsi="Garamond" w:cstheme="majorBidi"/>
          <w:sz w:val="24"/>
          <w:szCs w:val="24"/>
        </w:rPr>
        <w:t>. Dalam pandangan Rahman, tradisi keilmuan Islam telah mengalami proses taqlid (pembekuan kreativitas) sejak masa klasik, yang ditandai dengan kecenderungan mempertahankan pemahaman lama tanpa melakukan reinterpretasi sesuai tuntutan zaman.</w:t>
      </w:r>
    </w:p>
    <w:p w14:paraId="21F598B7" w14:textId="5266DF9F" w:rsidR="00F113E2" w:rsidRPr="00060A7D" w:rsidRDefault="00F113E2" w:rsidP="00060A7D">
      <w:pPr>
        <w:spacing w:after="0" w:line="360" w:lineRule="auto"/>
        <w:ind w:left="-2" w:firstLineChars="355" w:firstLine="852"/>
        <w:jc w:val="both"/>
        <w:rPr>
          <w:rFonts w:ascii="Garamond" w:hAnsi="Garamond" w:cstheme="majorBidi"/>
          <w:sz w:val="24"/>
          <w:szCs w:val="24"/>
        </w:rPr>
      </w:pPr>
      <w:r w:rsidRPr="00060A7D">
        <w:rPr>
          <w:rFonts w:ascii="Garamond" w:hAnsi="Garamond" w:cstheme="majorBidi"/>
          <w:sz w:val="24"/>
          <w:szCs w:val="24"/>
        </w:rPr>
        <w:t>Fazlur Rahman menilai cara pandang dan gerak dari para intelektual kontemporer Muslim ketika memberikan sebuah jawaban atas peralihan menjadi modernitas di kalangan negara Barat, Rahman bersikap atas yang terjadi dalam praktiknya yakni tertinggalnya pemikiran Muslim saat ini bisa terdeteksi dari faktor etos kerja dan kehidupan sosial yang sangat rendah.</w:t>
      </w:r>
      <w:r w:rsidR="00E55D3B" w:rsidRPr="00060A7D">
        <w:rPr>
          <w:rStyle w:val="FootnoteReference"/>
          <w:rFonts w:ascii="Garamond" w:hAnsi="Garamond"/>
          <w:sz w:val="24"/>
          <w:szCs w:val="24"/>
        </w:rPr>
        <w:fldChar w:fldCharType="begin" w:fldLock="1"/>
      </w:r>
      <w:r w:rsidR="00EC1D80" w:rsidRPr="00060A7D">
        <w:rPr>
          <w:rFonts w:ascii="Garamond" w:hAnsi="Garamond"/>
          <w:sz w:val="24"/>
          <w:szCs w:val="24"/>
        </w:rPr>
        <w:instrText>ADDIN CSL_CITATION {"citationItems":[{"id":"ITEM-1","itemData":{"ISSN":"2549-4244","abstract":"This article will review the Typology of Indonesian Ulama in the Contemporary era. Indeed, the understanding of the ulama itself leaves various interpretations of meaning. In fact, some circles argue that the ulama is a term or title that is equated with the term, for example: Kyai if in the Java region, Teuku is in the Aceh region, Tuan Guru is in the Bima region, and other terms. In general, scholars are a term for those who have the ability to understand a science. In this case what is meant by science is the science of religion which covers various scientific disciplines. However, further this paper reviews Indonesian scholars in the contemporary era. Who are among the contemporary Indonesian scholars and how is the typology or grouping of Indonesian Ulama more specific. Abstrak Artikel ini akan mengulas tentang tipologi ulama Indonesia di era kontemporer. Sesungguhnya pengertian ulama sendiri menyisahkan berbagai interpretasi makna. Bahkan beberapa kalangan berpendapat bahwa ulama merupakan sebuah sebutan atau gelar","author":[{"dropping-particle":"","family":"Pemikiran","given":"Dan","non-dropping-particle":"","parse-names":false,"suffix":""},{"dropping-particle":"","family":"Mutrofin","given":")","non-dropping-particle":"","parse-names":false,"suffix":""},{"dropping-particle":"","family":"Tulungagung","given":"Iain","non-dropping-particle":"","parse-names":false,"suffix":""}],"container-title":"Media Komunikasi Sosial Keagamaan","id":"ITEM-1","issued":{"date-parts":[["2019"]]},"page":"105-124","title":"Ulama Indonesia Kontemporer","type":"article-journal","volume":"19"},"uris":["http://www.mendeley.com/documents/?uuid=d89c30e8-1583-4a1a-be4a-83f2d89eb92d"]}],"mendeley":{"formattedCitation":"(Pemikiran et al., 2019)","plainTextFormattedCitation":"(Pemikiran et al., 2019)","previouslyFormattedCitation":"(Pemikiran et al., 2019)"},"properties":{"noteIndex":0},"schema":"https://github.com/citation-style-language/schema/raw/master/csl-citation.json"}</w:instrText>
      </w:r>
      <w:r w:rsidR="00E55D3B" w:rsidRPr="00060A7D">
        <w:rPr>
          <w:rStyle w:val="FootnoteReference"/>
          <w:rFonts w:ascii="Garamond" w:hAnsi="Garamond"/>
          <w:sz w:val="24"/>
          <w:szCs w:val="24"/>
        </w:rPr>
        <w:fldChar w:fldCharType="separate"/>
      </w:r>
      <w:r w:rsidR="00E55D3B" w:rsidRPr="00060A7D">
        <w:rPr>
          <w:rFonts w:ascii="Garamond" w:hAnsi="Garamond"/>
          <w:noProof/>
          <w:sz w:val="24"/>
          <w:szCs w:val="24"/>
        </w:rPr>
        <w:t>(Pemikiran et al., 2019)</w:t>
      </w:r>
      <w:r w:rsidR="00E55D3B" w:rsidRPr="00060A7D">
        <w:rPr>
          <w:rStyle w:val="FootnoteReference"/>
          <w:rFonts w:ascii="Garamond" w:hAnsi="Garamond"/>
          <w:sz w:val="24"/>
          <w:szCs w:val="24"/>
        </w:rPr>
        <w:fldChar w:fldCharType="end"/>
      </w:r>
      <w:r w:rsidRPr="00060A7D">
        <w:rPr>
          <w:rFonts w:ascii="Garamond" w:hAnsi="Garamond" w:cstheme="majorBidi"/>
          <w:sz w:val="24"/>
          <w:szCs w:val="24"/>
        </w:rPr>
        <w:t xml:space="preserve"> Memang Rahman merupakan salah satu cendekiawan yang gigih dalam memberikan argumen terhadap kajian Islam yang murni, Rahman menilai bahwa kemurnian itu seperti yang tercermin dalam Al-Qur'an yang telah hilang pesannya beriringan dengan munculnya ortodoksi di kalangan umat Islam, yaitu yang kita kenal sebagai Sunni. </w:t>
      </w:r>
    </w:p>
    <w:p w14:paraId="4A9865F8" w14:textId="7E97162F" w:rsidR="0088547B" w:rsidRPr="00060A7D" w:rsidRDefault="00F113E2" w:rsidP="00060A7D">
      <w:pPr>
        <w:spacing w:after="0" w:line="360" w:lineRule="auto"/>
        <w:ind w:left="-2" w:firstLineChars="355" w:firstLine="852"/>
        <w:jc w:val="both"/>
        <w:rPr>
          <w:rFonts w:ascii="Garamond" w:hAnsi="Garamond" w:cstheme="majorBidi"/>
          <w:sz w:val="24"/>
          <w:szCs w:val="24"/>
        </w:rPr>
      </w:pPr>
      <w:r w:rsidRPr="00060A7D">
        <w:rPr>
          <w:rFonts w:ascii="Garamond" w:hAnsi="Garamond" w:cstheme="majorBidi"/>
          <w:sz w:val="24"/>
          <w:szCs w:val="24"/>
        </w:rPr>
        <w:t>Disaat dia memang terkenal dengan kritikan terhadap Sunnisme, Rahman termasuk cendekiawan pengagum Mu’tazilah. Teori tentang nubuat dan sifat wahyu membentuk komponen terpenting dari hermeneutika umum Al-Qur'annya sendiri</w:t>
      </w:r>
      <w:r w:rsidR="00D95E58" w:rsidRPr="00060A7D">
        <w:rPr>
          <w:rFonts w:ascii="Garamond" w:hAnsi="Garamond" w:cstheme="majorBidi"/>
          <w:sz w:val="24"/>
          <w:szCs w:val="24"/>
        </w:rPr>
        <w:t xml:space="preserve"> </w:t>
      </w:r>
      <w:r w:rsidR="00D95E58" w:rsidRPr="00060A7D">
        <w:rPr>
          <w:rFonts w:ascii="Garamond" w:hAnsi="Garamond" w:cstheme="majorBidi"/>
          <w:sz w:val="24"/>
          <w:szCs w:val="24"/>
        </w:rPr>
        <w:fldChar w:fldCharType="begin" w:fldLock="1"/>
      </w:r>
      <w:r w:rsidR="00D95E58" w:rsidRPr="00060A7D">
        <w:rPr>
          <w:rFonts w:ascii="Garamond" w:hAnsi="Garamond" w:cstheme="majorBidi"/>
          <w:sz w:val="24"/>
          <w:szCs w:val="24"/>
        </w:rPr>
        <w:instrText>ADDIN CSL_CITATION {"citationItems":[{"id":"ITEM-1","itemData":{"ISBN":"9781350152106","author":[{"dropping-particle":"","family":"Galadari","given":"A","non-dropping-particle":"","parse-names":false,"suffix":""}],"collection-title":"Criminal Practice Series","id":"ITEM-1","issued":{"date-parts":[["2020"]]},"publisher":"Bloomsbury Academic","title":"Qur'anic Hermeneutics: Between Science, History, and the Bible","type":"book"},"uris":["http://www.mendeley.com/documents/?uuid=d6593410-3377-40ee-904f-3cafcffbe219"]}],"mendeley":{"formattedCitation":"(Galadari, 2020)","plainTextFormattedCitation":"(Galadari, 2020)","previouslyFormattedCitation":"(Galadari, 2020)"},"properties":{"noteIndex":0},"schema":"https://github.com/citation-style-language/schema/raw/master/csl-citation.json"}</w:instrText>
      </w:r>
      <w:r w:rsidR="00D95E58" w:rsidRPr="00060A7D">
        <w:rPr>
          <w:rFonts w:ascii="Garamond" w:hAnsi="Garamond" w:cstheme="majorBidi"/>
          <w:sz w:val="24"/>
          <w:szCs w:val="24"/>
        </w:rPr>
        <w:fldChar w:fldCharType="separate"/>
      </w:r>
      <w:r w:rsidR="00D95E58" w:rsidRPr="00060A7D">
        <w:rPr>
          <w:rFonts w:ascii="Garamond" w:hAnsi="Garamond" w:cstheme="majorBidi"/>
          <w:noProof/>
          <w:sz w:val="24"/>
          <w:szCs w:val="24"/>
        </w:rPr>
        <w:t>(Galadari, 2020)</w:t>
      </w:r>
      <w:r w:rsidR="00D95E58" w:rsidRPr="00060A7D">
        <w:rPr>
          <w:rFonts w:ascii="Garamond" w:hAnsi="Garamond" w:cstheme="majorBidi"/>
          <w:sz w:val="24"/>
          <w:szCs w:val="24"/>
        </w:rPr>
        <w:fldChar w:fldCharType="end"/>
      </w:r>
      <w:r w:rsidRPr="00060A7D">
        <w:rPr>
          <w:rFonts w:ascii="Garamond" w:hAnsi="Garamond" w:cstheme="majorBidi"/>
          <w:sz w:val="24"/>
          <w:szCs w:val="24"/>
        </w:rPr>
        <w:t xml:space="preserve">. Kaum Mu'tazilah membangun teori etika rasional dengan alasan bahwa baik dan buruk dapat diketahui oleh akal sehat tanpa bantuan wahyu. Namun sebagai seorang cendekiawan Rahman juga memiliki ketidaksetujuan dengan ide-ide Mu'tazilah, salah satunya tentang </w:t>
      </w:r>
      <w:r w:rsidRPr="00060A7D">
        <w:rPr>
          <w:rFonts w:ascii="Garamond" w:hAnsi="Garamond" w:cstheme="majorBidi"/>
          <w:sz w:val="24"/>
          <w:szCs w:val="24"/>
        </w:rPr>
        <w:lastRenderedPageBreak/>
        <w:t>penciptaan Al-Qur'an. Namun, hal ini tidak menghalangi Rahman untuk bersikap kritis terhadap posisi rasionalis Mu'tazilah yang lebih ekstrim</w:t>
      </w:r>
      <w:r w:rsidR="00072D0B" w:rsidRPr="00060A7D">
        <w:rPr>
          <w:rFonts w:ascii="Garamond" w:hAnsi="Garamond" w:cstheme="majorBidi"/>
          <w:sz w:val="24"/>
          <w:szCs w:val="24"/>
        </w:rPr>
        <w:t xml:space="preserve"> </w:t>
      </w:r>
      <w:r w:rsidR="00072D0B" w:rsidRPr="00060A7D">
        <w:rPr>
          <w:rFonts w:ascii="Garamond" w:hAnsi="Garamond" w:cstheme="majorBidi"/>
          <w:sz w:val="24"/>
          <w:szCs w:val="24"/>
        </w:rPr>
        <w:fldChar w:fldCharType="begin" w:fldLock="1"/>
      </w:r>
      <w:r w:rsidR="00072D0B" w:rsidRPr="00060A7D">
        <w:rPr>
          <w:rFonts w:ascii="Garamond" w:hAnsi="Garamond" w:cstheme="majorBidi"/>
          <w:sz w:val="24"/>
          <w:szCs w:val="24"/>
        </w:rPr>
        <w:instrText>ADDIN CSL_CITATION {"citationItems":[{"id":"ITEM-1","itemData":{"DOI":"10.54801/juquts.v2i1.170","abstract":"Fazlur Rahman is a man who has various thoughts related to the issue of the Qur&amp;#039;an and Hadith, Rahman&amp;#039;s presence in the list of names of Islamic thinkers brings something new to the renewal of Islam. Appear as a brilliant figure in formulating the method of interpretation of the Koran. Fazlur Rahman provides a more convincing method of interpretation, which lies in the use of philosophy, social sciences and humanities. The conceptual framework that Rahman built is often called the double movement hermeneutics. This is because in the process it involves a double movement, namely from the problem of the present situation to the time the Koran was revealed and from the time of the Koran back to the present problem. In this method the emphasis is on the basic ideas of the Koran or its moral ideals compared to the specific legal. Another term in the meaning that Fazlur Rahman puts forward the content of the universal meaning rather than the literal-particular meaning. The method formulated by Rahman finally not only contributed to the development of the Qur&amp;#039;anic interpretation method, but also influenced the ijtihad process in the context of answering the social-religious problems of the present era.","author":[{"dropping-particle":"","family":"Nursyifa","given":"Femy Putri","non-dropping-particle":"","parse-names":false,"suffix":""},{"dropping-particle":"","family":"Naqiya","given":"Hilya Nuri","non-dropping-particle":"","parse-names":false,"suffix":""},{"dropping-particle":"","family":"Azizah","given":"Nur","non-dropping-particle":"","parse-names":false,"suffix":""},{"dropping-particle":"","family":"Muttaqin","given":"Muhammad Rofi","non-dropping-particle":"","parse-names":false,"suffix":""},{"dropping-particle":"","family":"Purwati","given":"Puji","non-dropping-particle":"","parse-names":false,"suffix":""}],"container-title":"Journal of Ulumul Qur'an and Tafsir Studies","id":"ITEM-1","issue":"1","issued":{"date-parts":[["2023","4","10"]]},"page":"7-18","title":"Criticism of Fazlur Rahman's Al-Qur'an Hermeneutics","type":"article-journal","volume":"2"},"uris":["http://www.mendeley.com/documents/?uuid=83fe806e-1485-4378-9398-872c80ba0eea"]}],"mendeley":{"formattedCitation":"(Nursyifa et al., 2023)","plainTextFormattedCitation":"(Nursyifa et al., 2023)","previouslyFormattedCitation":"(Nursyifa et al., 2023)"},"properties":{"noteIndex":0},"schema":"https://github.com/citation-style-language/schema/raw/master/csl-citation.json"}</w:instrText>
      </w:r>
      <w:r w:rsidR="00072D0B" w:rsidRPr="00060A7D">
        <w:rPr>
          <w:rFonts w:ascii="Garamond" w:hAnsi="Garamond" w:cstheme="majorBidi"/>
          <w:sz w:val="24"/>
          <w:szCs w:val="24"/>
        </w:rPr>
        <w:fldChar w:fldCharType="separate"/>
      </w:r>
      <w:r w:rsidR="00072D0B" w:rsidRPr="00060A7D">
        <w:rPr>
          <w:rFonts w:ascii="Garamond" w:hAnsi="Garamond" w:cstheme="majorBidi"/>
          <w:noProof/>
          <w:sz w:val="24"/>
          <w:szCs w:val="24"/>
        </w:rPr>
        <w:t>(Nursyifa et al., 2023)</w:t>
      </w:r>
      <w:r w:rsidR="00072D0B" w:rsidRPr="00060A7D">
        <w:rPr>
          <w:rFonts w:ascii="Garamond" w:hAnsi="Garamond" w:cstheme="majorBidi"/>
          <w:sz w:val="24"/>
          <w:szCs w:val="24"/>
        </w:rPr>
        <w:fldChar w:fldCharType="end"/>
      </w:r>
      <w:r w:rsidRPr="00060A7D">
        <w:rPr>
          <w:rFonts w:ascii="Garamond" w:hAnsi="Garamond" w:cstheme="majorBidi"/>
          <w:sz w:val="24"/>
          <w:szCs w:val="24"/>
        </w:rPr>
        <w:t>.</w:t>
      </w:r>
    </w:p>
    <w:p w14:paraId="10D7F02E" w14:textId="003E5AFC" w:rsidR="0088547B" w:rsidRPr="00060A7D" w:rsidRDefault="0088547B" w:rsidP="00060A7D">
      <w:pPr>
        <w:spacing w:after="0" w:line="360" w:lineRule="auto"/>
        <w:ind w:left="-2" w:firstLineChars="355" w:firstLine="852"/>
        <w:jc w:val="both"/>
        <w:rPr>
          <w:rFonts w:ascii="Garamond" w:hAnsi="Garamond" w:cstheme="majorBidi"/>
          <w:sz w:val="24"/>
          <w:szCs w:val="24"/>
        </w:rPr>
      </w:pPr>
      <w:r w:rsidRPr="00060A7D">
        <w:rPr>
          <w:rFonts w:ascii="Garamond" w:hAnsi="Garamond" w:cstheme="majorBidi"/>
          <w:sz w:val="24"/>
          <w:szCs w:val="24"/>
        </w:rPr>
        <w:t xml:space="preserve">Menurut pandangan Fazlur Rahman, Al-Qur’an secara tegas menolak konsep adanya </w:t>
      </w:r>
      <w:r w:rsidR="0023744A" w:rsidRPr="00060A7D">
        <w:rPr>
          <w:rFonts w:ascii="Garamond" w:hAnsi="Garamond" w:cstheme="majorBidi"/>
          <w:sz w:val="24"/>
          <w:szCs w:val="24"/>
        </w:rPr>
        <w:t xml:space="preserve">syafaat </w:t>
      </w:r>
      <w:r w:rsidRPr="00060A7D">
        <w:rPr>
          <w:rFonts w:ascii="Garamond" w:hAnsi="Garamond" w:cstheme="majorBidi"/>
          <w:sz w:val="24"/>
          <w:szCs w:val="24"/>
        </w:rPr>
        <w:t>dalam hubungan antara manusia dan Tuhan. Penolakan ini mengimplikasikan bahwa tidak ada pihak ketiga atau perantara yang berhak mewakili manusia di hadapan Tuhan. Prinsip dasar ini menekankan bahwa setiap individu bertanggung jawab langsung atas amal perbuatannya di hadapan Allah, tanpa membutuhkan perantaraan dari sosok tertentu</w:t>
      </w:r>
      <w:r w:rsidR="000A5579" w:rsidRPr="00060A7D">
        <w:rPr>
          <w:rFonts w:ascii="Garamond" w:hAnsi="Garamond" w:cstheme="majorBidi"/>
          <w:sz w:val="24"/>
          <w:szCs w:val="24"/>
        </w:rPr>
        <w:t xml:space="preserve"> </w:t>
      </w:r>
      <w:r w:rsidR="000A5579" w:rsidRPr="00060A7D">
        <w:rPr>
          <w:rFonts w:ascii="Garamond" w:hAnsi="Garamond" w:cstheme="majorBidi"/>
          <w:sz w:val="24"/>
          <w:szCs w:val="24"/>
        </w:rPr>
        <w:fldChar w:fldCharType="begin" w:fldLock="1"/>
      </w:r>
      <w:r w:rsidR="00CA47EB" w:rsidRPr="00060A7D">
        <w:rPr>
          <w:rFonts w:ascii="Garamond" w:hAnsi="Garamond" w:cstheme="majorBidi"/>
          <w:sz w:val="24"/>
          <w:szCs w:val="24"/>
        </w:rPr>
        <w:instrText>ADDIN CSL_CITATION {"citationItems":[{"id":"ITEM-1","itemData":{"DOI":"10.61166/ikhsan.v2i1.41","abstract":"In the Islamic tradition, the development of Islamic studies is very interesting to continue to study, in the form of literature by western orientalists. This started after there was cultural contact between Islam and Christianity in the western world. Fazlur Rahman was a Muslim scholar who taught in the Western world (1332-1408 H/1919-1988 AD). He really knows the ins and outs of Orientalist studies by Western scholars, he studied at the University of Chicago, United States. One of Rahman's interesting studies discussed is, Major Themes of the Koran. He opposed the interpretation of the Qur'an carried out by orientalists such as Geiger, Theodor and Wansbrough, who considered that the Qur'an was only the work of the Prophet Muhammad and not from Allah SWT. In this article, we will discuss the main contents of the book Major Themes of the Qur'an, there are eight main points of Fazlur Rahman's thoughts and western orientalist interpretations of the Al-Qur'an.","author":[{"dropping-particle":"","family":"Fanani","given":"Muhammad Adip","non-dropping-particle":"","parse-names":false,"suffix":""},{"dropping-particle":"","family":"Fawaid","given":"Ach","non-dropping-particle":"","parse-names":false,"suffix":""},{"dropping-particle":"","family":"Abdurrohman","given":"M Iqbal","non-dropping-particle":"","parse-names":false,"suffix":""}],"container-title":"Al-Ikhsan: Interdisciplinary Journal of Islamic Studies","id":"ITEM-1","issue":"1","issued":{"date-parts":[["2024"]]},"page":"20-32","title":"Fazlur Rahman's Approach to the Major Themes of the Qur'an and Western Interpretation of the Qur'an","type":"article-journal","volume":"2"},"uris":["http://www.mendeley.com/documents/?uuid=7a9fb5b6-2c98-4c46-8f81-3c2d42ef6509"]}],"mendeley":{"formattedCitation":"(Fanani et al., 2024)","plainTextFormattedCitation":"(Fanani et al., 2024)","previouslyFormattedCitation":"(Fanani et al., 2024)"},"properties":{"noteIndex":0},"schema":"https://github.com/citation-style-language/schema/raw/master/csl-citation.json"}</w:instrText>
      </w:r>
      <w:r w:rsidR="000A5579" w:rsidRPr="00060A7D">
        <w:rPr>
          <w:rFonts w:ascii="Garamond" w:hAnsi="Garamond" w:cstheme="majorBidi"/>
          <w:sz w:val="24"/>
          <w:szCs w:val="24"/>
        </w:rPr>
        <w:fldChar w:fldCharType="separate"/>
      </w:r>
      <w:r w:rsidR="000A5579" w:rsidRPr="00060A7D">
        <w:rPr>
          <w:rFonts w:ascii="Garamond" w:hAnsi="Garamond" w:cstheme="majorBidi"/>
          <w:noProof/>
          <w:sz w:val="24"/>
          <w:szCs w:val="24"/>
        </w:rPr>
        <w:t>(Fanani et al., 2024)</w:t>
      </w:r>
      <w:r w:rsidR="000A5579" w:rsidRPr="00060A7D">
        <w:rPr>
          <w:rFonts w:ascii="Garamond" w:hAnsi="Garamond" w:cstheme="majorBidi"/>
          <w:sz w:val="24"/>
          <w:szCs w:val="24"/>
        </w:rPr>
        <w:fldChar w:fldCharType="end"/>
      </w:r>
      <w:r w:rsidRPr="00060A7D">
        <w:rPr>
          <w:rFonts w:ascii="Garamond" w:hAnsi="Garamond" w:cstheme="majorBidi"/>
          <w:sz w:val="24"/>
          <w:szCs w:val="24"/>
        </w:rPr>
        <w:t>.</w:t>
      </w:r>
      <w:r w:rsidR="00F63414" w:rsidRPr="00060A7D">
        <w:rPr>
          <w:rFonts w:ascii="Garamond" w:hAnsi="Garamond" w:cstheme="majorBidi"/>
          <w:sz w:val="24"/>
          <w:szCs w:val="24"/>
        </w:rPr>
        <w:t xml:space="preserve"> </w:t>
      </w:r>
      <w:r w:rsidRPr="00060A7D">
        <w:rPr>
          <w:rFonts w:ascii="Garamond" w:hAnsi="Garamond" w:cstheme="majorBidi"/>
          <w:sz w:val="24"/>
          <w:szCs w:val="24"/>
        </w:rPr>
        <w:t>Namun, di sisi lain, terdapat banyak hadis yang menggambarkan bahwa pada hari kiamat kelak, Nabi Muhammad akan memberikan syafaat atau pertolongan kepada umatnya. Bahkan dalam keyakinan kalangan ulama tradisional, diyakini bahwa orang-orang saleh yang memiliki kedekatan spiritual dengan Tuhan juga dapat memberikan pertolongan di akhirat. Pandangan ini tumbuh dan mengakar kuat dalam kepercayaan masyarakat Muslim yang lebih bersifat mistik dan sufistik.</w:t>
      </w:r>
    </w:p>
    <w:p w14:paraId="7A79EB8B" w14:textId="117546E0" w:rsidR="00C966F1" w:rsidRPr="00060A7D" w:rsidRDefault="00C966F1" w:rsidP="00060A7D">
      <w:pPr>
        <w:spacing w:after="0" w:line="360" w:lineRule="auto"/>
        <w:ind w:left="-2" w:firstLineChars="355" w:firstLine="852"/>
        <w:jc w:val="both"/>
        <w:rPr>
          <w:rFonts w:ascii="Garamond" w:hAnsi="Garamond" w:cstheme="majorBidi"/>
          <w:sz w:val="24"/>
          <w:szCs w:val="24"/>
        </w:rPr>
      </w:pPr>
      <w:r w:rsidRPr="00060A7D">
        <w:rPr>
          <w:rFonts w:ascii="Garamond" w:hAnsi="Garamond" w:cstheme="majorBidi"/>
          <w:sz w:val="24"/>
          <w:szCs w:val="24"/>
        </w:rPr>
        <w:t>Rahman juga mengkritik apa yang ia sebut sebagai “historisisme semu” dalam tradisi tafsir klasik. Banyak mufasir terdahulu m</w:t>
      </w:r>
      <w:r w:rsidR="00DF2EB1" w:rsidRPr="00060A7D">
        <w:rPr>
          <w:rFonts w:ascii="Garamond" w:hAnsi="Garamond" w:cstheme="majorBidi"/>
          <w:sz w:val="24"/>
          <w:szCs w:val="24"/>
        </w:rPr>
        <w:t xml:space="preserve">emang menyebut konteks asbabun </w:t>
      </w:r>
      <w:r w:rsidRPr="00060A7D">
        <w:rPr>
          <w:rFonts w:ascii="Garamond" w:hAnsi="Garamond" w:cstheme="majorBidi"/>
          <w:sz w:val="24"/>
          <w:szCs w:val="24"/>
        </w:rPr>
        <w:t>nuzul, tetapi hanya sebatas sebagai latar belakang, bukan sebagai instrumen untuk membangun pemahaman kontekstual dan dinamis terhadap pesan-pesan wahyu</w:t>
      </w:r>
      <w:r w:rsidRPr="00060A7D">
        <w:rPr>
          <w:rFonts w:ascii="Garamond" w:hAnsi="Garamond" w:cstheme="majorBidi"/>
          <w:sz w:val="24"/>
          <w:szCs w:val="24"/>
          <w:lang w:val="en-US"/>
        </w:rPr>
        <w:t xml:space="preserve"> </w:t>
      </w:r>
      <w:r w:rsidRPr="00060A7D">
        <w:rPr>
          <w:rFonts w:ascii="Garamond" w:hAnsi="Garamond" w:cstheme="majorBidi"/>
          <w:sz w:val="24"/>
          <w:szCs w:val="24"/>
        </w:rPr>
        <w:fldChar w:fldCharType="begin" w:fldLock="1"/>
      </w:r>
      <w:r w:rsidRPr="00060A7D">
        <w:rPr>
          <w:rFonts w:ascii="Garamond" w:hAnsi="Garamond" w:cstheme="majorBidi"/>
          <w:sz w:val="24"/>
          <w:szCs w:val="24"/>
        </w:rPr>
        <w:instrText>ADDIN CSL_CITATION {"citationItems":[{"id":"ITEM-1","itemData":{"author":[{"dropping-particle":"","family":"Wekke","given":"Ismail Suardi","non-dropping-particle":"","parse-names":false,"suffix":""}],"container-title":"IJHABS: International Journal of Humanity Advance, Business &amp; Sciences","id":"ITEM-1","issue":"3","issued":{"date-parts":[["2025"]]},"page":"299-312","title":"Notable Individuals Named Fazlur Rahman: A Comparative Biographical Study","type":"article-journal","volume":"2"},"uris":["http://www.mendeley.com/documents/?uuid=3491d8ed-6d05-429f-ad5c-1fe33c7923eb"]}],"mendeley":{"formattedCitation":"(Wekke, 2025)","plainTextFormattedCitation":"(Wekke, 2025)","previouslyFormattedCitation":"(Wekke, 2025)"},"properties":{"noteIndex":0},"schema":"https://github.com/citation-style-language/schema/raw/master/csl-citation.json"}</w:instrText>
      </w:r>
      <w:r w:rsidRPr="00060A7D">
        <w:rPr>
          <w:rFonts w:ascii="Garamond" w:hAnsi="Garamond" w:cstheme="majorBidi"/>
          <w:sz w:val="24"/>
          <w:szCs w:val="24"/>
        </w:rPr>
        <w:fldChar w:fldCharType="separate"/>
      </w:r>
      <w:r w:rsidRPr="00060A7D">
        <w:rPr>
          <w:rFonts w:ascii="Garamond" w:hAnsi="Garamond" w:cstheme="majorBidi"/>
          <w:noProof/>
          <w:sz w:val="24"/>
          <w:szCs w:val="24"/>
        </w:rPr>
        <w:t>(Wekke, 2025)</w:t>
      </w:r>
      <w:r w:rsidRPr="00060A7D">
        <w:rPr>
          <w:rFonts w:ascii="Garamond" w:hAnsi="Garamond" w:cstheme="majorBidi"/>
          <w:sz w:val="24"/>
          <w:szCs w:val="24"/>
        </w:rPr>
        <w:fldChar w:fldCharType="end"/>
      </w:r>
      <w:r w:rsidRPr="00060A7D">
        <w:rPr>
          <w:rFonts w:ascii="Garamond" w:hAnsi="Garamond" w:cstheme="majorBidi"/>
          <w:sz w:val="24"/>
          <w:szCs w:val="24"/>
        </w:rPr>
        <w:t>. Dalam pendekatan tradisional, wahyu dianggap selesai ketika diturunkan, padahal bagi Rahman, wahyu justru harus terus “dihidupkan” melalui reinterpretasi moral yang disesuaikan dengan kebutuhan zaman.</w:t>
      </w:r>
    </w:p>
    <w:p w14:paraId="34036990" w14:textId="016CA2AB" w:rsidR="00C966F1" w:rsidRPr="00060A7D" w:rsidRDefault="00C966F1" w:rsidP="00060A7D">
      <w:pPr>
        <w:spacing w:after="0" w:line="360" w:lineRule="auto"/>
        <w:ind w:left="-2" w:firstLineChars="355" w:firstLine="852"/>
        <w:jc w:val="both"/>
        <w:rPr>
          <w:rFonts w:ascii="Garamond" w:hAnsi="Garamond" w:cstheme="majorBidi"/>
          <w:sz w:val="24"/>
          <w:szCs w:val="24"/>
        </w:rPr>
      </w:pPr>
      <w:r w:rsidRPr="00060A7D">
        <w:rPr>
          <w:rFonts w:ascii="Garamond" w:hAnsi="Garamond" w:cstheme="majorBidi"/>
          <w:sz w:val="24"/>
          <w:szCs w:val="24"/>
          <w:lang w:val="en-US"/>
        </w:rPr>
        <w:t>K</w:t>
      </w:r>
      <w:r w:rsidRPr="00060A7D">
        <w:rPr>
          <w:rFonts w:ascii="Garamond" w:hAnsi="Garamond" w:cstheme="majorBidi"/>
          <w:sz w:val="24"/>
          <w:szCs w:val="24"/>
        </w:rPr>
        <w:t>ritik Fazlur Rahman terhadap Islam tradisional bukanlah bentuk penolakan terhadap warisan ulama klasik secara total, melainkan sebuah ajakan untuk melakukan revitalisasi makna dan reformulasi metode agar ajaran Islam dapat menjawab tantangan zaman</w:t>
      </w:r>
      <w:r w:rsidRPr="00060A7D">
        <w:rPr>
          <w:rFonts w:ascii="Garamond" w:hAnsi="Garamond" w:cstheme="majorBidi"/>
          <w:sz w:val="24"/>
          <w:szCs w:val="24"/>
          <w:lang w:val="en-US"/>
        </w:rPr>
        <w:t xml:space="preserve"> </w:t>
      </w:r>
      <w:r w:rsidRPr="00060A7D">
        <w:rPr>
          <w:rFonts w:ascii="Garamond" w:hAnsi="Garamond" w:cstheme="majorBidi"/>
          <w:sz w:val="24"/>
          <w:szCs w:val="24"/>
        </w:rPr>
        <w:fldChar w:fldCharType="begin" w:fldLock="1"/>
      </w:r>
      <w:r w:rsidRPr="00060A7D">
        <w:rPr>
          <w:rFonts w:ascii="Garamond" w:hAnsi="Garamond" w:cstheme="majorBidi"/>
          <w:sz w:val="24"/>
          <w:szCs w:val="24"/>
        </w:rPr>
        <w:instrText>ADDIN CSL_CITATION {"citationItems":[{"id":"ITEM-1","itemData":{"author":[{"dropping-particle":"","family":"Azhari","given":"Nita","non-dropping-particle":"","parse-names":false,"suffix":""},{"dropping-particle":"","family":"Kisworo","given":"Budi","non-dropping-particle":"","parse-names":false,"suffix":""},{"dropping-particle":"","family":"Yusefri","given":"Yusefri","non-dropping-particle":"","parse-names":false,"suffix":""}],"container-title":"Al-Furqan : Jurnal Agama, Sosial, dan Budaya","id":"ITEM-1","issue":"5","issued":{"date-parts":[["2023"]]},"page":"1-14","title":"Penerapan Teori Double Movement Fazlur Rahman Terhadap Pembagian Waris Islam Dalam Konteks Kekinian","type":"article-journal","volume":"2"},"uris":["http://www.mendeley.com/documents/?uuid=ff61d439-a2a1-4136-8a9d-e7356db5a945"]}],"mendeley":{"formattedCitation":"(Azhari et al., 2023)","plainTextFormattedCitation":"(Azhari et al., 2023)","previouslyFormattedCitation":"(Azhari et al., 2023)"},"properties":{"noteIndex":0},"schema":"https://github.com/citation-style-language/schema/raw/master/csl-citation.json"}</w:instrText>
      </w:r>
      <w:r w:rsidRPr="00060A7D">
        <w:rPr>
          <w:rFonts w:ascii="Garamond" w:hAnsi="Garamond" w:cstheme="majorBidi"/>
          <w:sz w:val="24"/>
          <w:szCs w:val="24"/>
        </w:rPr>
        <w:fldChar w:fldCharType="separate"/>
      </w:r>
      <w:r w:rsidRPr="00060A7D">
        <w:rPr>
          <w:rFonts w:ascii="Garamond" w:hAnsi="Garamond" w:cstheme="majorBidi"/>
          <w:noProof/>
          <w:sz w:val="24"/>
          <w:szCs w:val="24"/>
        </w:rPr>
        <w:t>(Azhari et al., 2023)</w:t>
      </w:r>
      <w:r w:rsidRPr="00060A7D">
        <w:rPr>
          <w:rFonts w:ascii="Garamond" w:hAnsi="Garamond" w:cstheme="majorBidi"/>
          <w:sz w:val="24"/>
          <w:szCs w:val="24"/>
        </w:rPr>
        <w:fldChar w:fldCharType="end"/>
      </w:r>
      <w:r w:rsidRPr="00060A7D">
        <w:rPr>
          <w:rFonts w:ascii="Garamond" w:hAnsi="Garamond" w:cstheme="majorBidi"/>
          <w:sz w:val="24"/>
          <w:szCs w:val="24"/>
        </w:rPr>
        <w:t>. Ia menghendaki agar umat Islam tidak terjebak dalam romantisme masa lalu, melainkan berani melakukan ijtihad metodologis yang bertumpu pada semangat wahyu, bukan pada bentuk-bentuk lahiriah yang tidak lagi relevan. Keseluruhan kritik ini menjadi sangat penting dalam konteks pembaruan hukum Islam,</w:t>
      </w:r>
      <w:r w:rsidRPr="00060A7D">
        <w:rPr>
          <w:rFonts w:ascii="Garamond" w:hAnsi="Garamond" w:cstheme="majorBidi"/>
          <w:sz w:val="24"/>
          <w:szCs w:val="24"/>
          <w:lang w:val="en-US"/>
        </w:rPr>
        <w:t xml:space="preserve"> k</w:t>
      </w:r>
      <w:r w:rsidRPr="00060A7D">
        <w:rPr>
          <w:rFonts w:ascii="Garamond" w:hAnsi="Garamond" w:cstheme="majorBidi"/>
          <w:sz w:val="24"/>
          <w:szCs w:val="24"/>
        </w:rPr>
        <w:t>etika teks-teks hukum Al-Qur’an dihadapkan pada dinamika sosial yang terus berubah, maka pendekatan moral-konseptual ala Fazlur Rahman mampu menjembatani antara nilai normatif dan kebutuhan kontemporer</w:t>
      </w:r>
      <w:r w:rsidRPr="00060A7D">
        <w:rPr>
          <w:rFonts w:ascii="Garamond" w:hAnsi="Garamond" w:cstheme="majorBidi"/>
          <w:sz w:val="24"/>
          <w:szCs w:val="24"/>
          <w:lang w:val="en-US"/>
        </w:rPr>
        <w:t xml:space="preserve"> </w:t>
      </w:r>
      <w:r w:rsidRPr="00060A7D">
        <w:rPr>
          <w:rFonts w:ascii="Garamond" w:hAnsi="Garamond" w:cstheme="majorBidi"/>
          <w:sz w:val="24"/>
          <w:szCs w:val="24"/>
        </w:rPr>
        <w:fldChar w:fldCharType="begin" w:fldLock="1"/>
      </w:r>
      <w:r w:rsidRPr="00060A7D">
        <w:rPr>
          <w:rFonts w:ascii="Garamond" w:hAnsi="Garamond" w:cstheme="majorBidi"/>
          <w:sz w:val="24"/>
          <w:szCs w:val="24"/>
        </w:rPr>
        <w:instrText>ADDIN CSL_CITATION {"citationItems":[{"id":"ITEM-1","itemData":{"DOI":"10.29240/alquds.v8i3.8852","author":[{"dropping-particle":"","family":"Hendri","given":"Jul","non-dropping-particle":"","parse-names":false,"suffix":""}],"container-title":"Al Quds: Jurnal Studi Alquran dan Hadis","id":"ITEM-1","issue":"3","issued":{"date-parts":[["2024"]]},"page":"533-540","title":"Contemporary Interpretation Methodology: Comparative Study of the Thought of Fazlur Rahman and Sahiron Syamsuddin","type":"article-journal","volume":"8"},"uris":["http://www.mendeley.com/documents/?uuid=80eeb867-f7a8-4e30-a1e8-a9990ca9a153"]}],"mendeley":{"formattedCitation":"(Hendri, 2024)","plainTextFormattedCitation":"(Hendri, 2024)","previouslyFormattedCitation":"(Hendri, 2024)"},"properties":{"noteIndex":0},"schema":"https://github.com/citation-style-language/schema/raw/master/csl-citation.json"}</w:instrText>
      </w:r>
      <w:r w:rsidRPr="00060A7D">
        <w:rPr>
          <w:rFonts w:ascii="Garamond" w:hAnsi="Garamond" w:cstheme="majorBidi"/>
          <w:sz w:val="24"/>
          <w:szCs w:val="24"/>
        </w:rPr>
        <w:fldChar w:fldCharType="separate"/>
      </w:r>
      <w:r w:rsidRPr="00060A7D">
        <w:rPr>
          <w:rFonts w:ascii="Garamond" w:hAnsi="Garamond" w:cstheme="majorBidi"/>
          <w:noProof/>
          <w:sz w:val="24"/>
          <w:szCs w:val="24"/>
        </w:rPr>
        <w:t>(Hendri, 2024)</w:t>
      </w:r>
      <w:r w:rsidRPr="00060A7D">
        <w:rPr>
          <w:rFonts w:ascii="Garamond" w:hAnsi="Garamond" w:cstheme="majorBidi"/>
          <w:sz w:val="24"/>
          <w:szCs w:val="24"/>
        </w:rPr>
        <w:fldChar w:fldCharType="end"/>
      </w:r>
      <w:r w:rsidRPr="00060A7D">
        <w:rPr>
          <w:rFonts w:ascii="Garamond" w:hAnsi="Garamond" w:cstheme="majorBidi"/>
          <w:sz w:val="24"/>
          <w:szCs w:val="24"/>
        </w:rPr>
        <w:t>. Pemikirannya mendorong lahirnya interpretasi yang tidak hanya sahih secara teologis, tetapi juga berdaya transformasi secara sosial, menjadikan hukum Islam sebagai bagian dari solusi, bukan sekadar regulasi yang membebani.</w:t>
      </w:r>
    </w:p>
    <w:p w14:paraId="4E80DB31" w14:textId="167964BF" w:rsidR="00861D15" w:rsidRPr="00060A7D" w:rsidRDefault="0088547B" w:rsidP="00060A7D">
      <w:pPr>
        <w:spacing w:after="0" w:line="360" w:lineRule="auto"/>
        <w:ind w:left="-2" w:firstLineChars="355" w:firstLine="852"/>
        <w:jc w:val="both"/>
        <w:rPr>
          <w:rFonts w:ascii="Garamond" w:hAnsi="Garamond" w:cstheme="majorBidi"/>
          <w:sz w:val="24"/>
          <w:szCs w:val="24"/>
        </w:rPr>
      </w:pPr>
      <w:r w:rsidRPr="00060A7D">
        <w:rPr>
          <w:rFonts w:ascii="Garamond" w:hAnsi="Garamond" w:cstheme="majorBidi"/>
          <w:sz w:val="24"/>
          <w:szCs w:val="24"/>
        </w:rPr>
        <w:lastRenderedPageBreak/>
        <w:t>Meskipun demikian, jika merujuk secara tekstual kepada Al-</w:t>
      </w:r>
      <w:proofErr w:type="spellStart"/>
      <w:r w:rsidRPr="00060A7D">
        <w:rPr>
          <w:rFonts w:ascii="Garamond" w:hAnsi="Garamond" w:cstheme="majorBidi"/>
          <w:sz w:val="24"/>
          <w:szCs w:val="24"/>
        </w:rPr>
        <w:t>Qur’an</w:t>
      </w:r>
      <w:proofErr w:type="spellEnd"/>
      <w:r w:rsidRPr="00060A7D">
        <w:rPr>
          <w:rFonts w:ascii="Garamond" w:hAnsi="Garamond" w:cstheme="majorBidi"/>
          <w:sz w:val="24"/>
          <w:szCs w:val="24"/>
        </w:rPr>
        <w:t xml:space="preserve">, khususnya dalam </w:t>
      </w:r>
      <w:r w:rsidR="001F14A8">
        <w:rPr>
          <w:rFonts w:ascii="Garamond" w:hAnsi="Garamond" w:cstheme="majorBidi"/>
          <w:sz w:val="24"/>
          <w:szCs w:val="24"/>
        </w:rPr>
        <w:t xml:space="preserve">potongan ayat dalam </w:t>
      </w:r>
      <w:r w:rsidRPr="00060A7D">
        <w:rPr>
          <w:rFonts w:ascii="Garamond" w:hAnsi="Garamond" w:cstheme="majorBidi"/>
          <w:sz w:val="24"/>
          <w:szCs w:val="24"/>
        </w:rPr>
        <w:t>surat Al-Baqarah</w:t>
      </w:r>
      <w:r w:rsidR="00861D15" w:rsidRPr="00060A7D">
        <w:rPr>
          <w:rFonts w:ascii="Garamond" w:hAnsi="Garamond" w:cstheme="majorBidi"/>
          <w:sz w:val="24"/>
          <w:szCs w:val="24"/>
        </w:rPr>
        <w:t xml:space="preserve"> ayat 255</w:t>
      </w:r>
      <w:r w:rsidRPr="00060A7D">
        <w:rPr>
          <w:rFonts w:ascii="Garamond" w:hAnsi="Garamond" w:cstheme="majorBidi"/>
          <w:sz w:val="24"/>
          <w:szCs w:val="24"/>
        </w:rPr>
        <w:t>, ditegaskan bahwa</w:t>
      </w:r>
    </w:p>
    <w:p w14:paraId="44E10CE5" w14:textId="25B4A900" w:rsidR="001F14A8" w:rsidRDefault="001F14A8" w:rsidP="001F14A8">
      <w:pPr>
        <w:bidi/>
        <w:spacing w:after="0" w:line="360" w:lineRule="auto"/>
        <w:ind w:left="-2" w:firstLineChars="44" w:firstLine="141"/>
        <w:jc w:val="both"/>
        <w:rPr>
          <w:rFonts w:ascii="Garamond" w:hAnsi="Garamond" w:cstheme="majorBidi"/>
          <w:sz w:val="24"/>
          <w:szCs w:val="24"/>
        </w:rPr>
      </w:pPr>
      <w:r>
        <w:rPr>
          <w:rFonts w:ascii="__omar_Fallback_6952f9" w:hAnsi="__omar_Fallback_6952f9"/>
          <w:color w:val="111827"/>
          <w:sz w:val="32"/>
          <w:szCs w:val="32"/>
          <w:shd w:val="clear" w:color="auto" w:fill="FFFFFF"/>
        </w:rPr>
        <w:t>....</w:t>
      </w:r>
      <w:r w:rsidRPr="001F14A8">
        <w:rPr>
          <w:rFonts w:ascii="__omar_Fallback_6952f9" w:hAnsi="__omar_Fallback_6952f9"/>
          <w:color w:val="111827"/>
          <w:sz w:val="32"/>
          <w:szCs w:val="32"/>
          <w:shd w:val="clear" w:color="auto" w:fill="FFFFFF"/>
          <w:rtl/>
        </w:rPr>
        <w:t xml:space="preserve">مَنْ ذَا الَّذِيْ يَشْفَعُ </w:t>
      </w:r>
      <w:proofErr w:type="spellStart"/>
      <w:r w:rsidRPr="001F14A8">
        <w:rPr>
          <w:rFonts w:ascii="__omar_Fallback_6952f9" w:hAnsi="__omar_Fallback_6952f9"/>
          <w:color w:val="111827"/>
          <w:sz w:val="32"/>
          <w:szCs w:val="32"/>
          <w:shd w:val="clear" w:color="auto" w:fill="FFFFFF"/>
          <w:rtl/>
        </w:rPr>
        <w:t>عِنْدَهٗٓ</w:t>
      </w:r>
      <w:proofErr w:type="spellEnd"/>
      <w:r w:rsidRPr="001F14A8">
        <w:rPr>
          <w:rFonts w:ascii="__omar_Fallback_6952f9" w:hAnsi="__omar_Fallback_6952f9"/>
          <w:color w:val="111827"/>
          <w:sz w:val="32"/>
          <w:szCs w:val="32"/>
          <w:shd w:val="clear" w:color="auto" w:fill="FFFFFF"/>
          <w:rtl/>
        </w:rPr>
        <w:t xml:space="preserve"> اِلَّا </w:t>
      </w:r>
      <w:proofErr w:type="spellStart"/>
      <w:r w:rsidRPr="001F14A8">
        <w:rPr>
          <w:rFonts w:ascii="__omar_Fallback_6952f9" w:hAnsi="__omar_Fallback_6952f9"/>
          <w:color w:val="111827"/>
          <w:sz w:val="32"/>
          <w:szCs w:val="32"/>
          <w:shd w:val="clear" w:color="auto" w:fill="FFFFFF"/>
          <w:rtl/>
        </w:rPr>
        <w:t>بِاِذْنِهٖۗ</w:t>
      </w:r>
      <w:proofErr w:type="spellEnd"/>
      <w:r>
        <w:rPr>
          <w:rFonts w:ascii="__omar_Fallback_6952f9" w:hAnsi="__omar_Fallback_6952f9"/>
          <w:color w:val="111827"/>
          <w:sz w:val="32"/>
          <w:szCs w:val="32"/>
          <w:shd w:val="clear" w:color="auto" w:fill="FFFFFF"/>
        </w:rPr>
        <w:t>....</w:t>
      </w:r>
    </w:p>
    <w:p w14:paraId="5BC09E17" w14:textId="3C4F2F94" w:rsidR="00861D15" w:rsidRPr="00060A7D" w:rsidRDefault="001F14A8" w:rsidP="001F14A8">
      <w:pPr>
        <w:bidi/>
        <w:spacing w:after="0" w:line="360" w:lineRule="auto"/>
        <w:ind w:left="-2" w:firstLineChars="44" w:firstLine="106"/>
        <w:jc w:val="both"/>
        <w:rPr>
          <w:rFonts w:ascii="Garamond" w:hAnsi="Garamond" w:cstheme="majorBidi"/>
          <w:sz w:val="24"/>
          <w:szCs w:val="24"/>
        </w:rPr>
      </w:pPr>
      <w:r w:rsidRPr="001F14A8">
        <w:rPr>
          <w:rFonts w:ascii="Garamond" w:hAnsi="Garamond" w:cstheme="majorBidi"/>
          <w:sz w:val="24"/>
          <w:szCs w:val="24"/>
        </w:rPr>
        <w:t xml:space="preserve"> </w:t>
      </w:r>
      <w:r w:rsidR="0088547B" w:rsidRPr="00060A7D">
        <w:rPr>
          <w:rFonts w:ascii="Garamond" w:hAnsi="Garamond" w:cstheme="majorBidi"/>
          <w:sz w:val="24"/>
          <w:szCs w:val="24"/>
        </w:rPr>
        <w:t>“</w:t>
      </w:r>
      <w:r w:rsidR="00861D15" w:rsidRPr="00060A7D">
        <w:rPr>
          <w:rFonts w:ascii="Garamond" w:hAnsi="Garamond" w:cstheme="majorBidi"/>
          <w:sz w:val="24"/>
          <w:szCs w:val="24"/>
        </w:rPr>
        <w:t xml:space="preserve">..... </w:t>
      </w:r>
      <w:r w:rsidR="00861D15" w:rsidRPr="00060A7D">
        <w:rPr>
          <w:rFonts w:ascii="Garamond" w:hAnsi="Garamond" w:cstheme="majorBidi"/>
          <w:i/>
          <w:iCs/>
          <w:sz w:val="24"/>
          <w:szCs w:val="24"/>
        </w:rPr>
        <w:t>T</w:t>
      </w:r>
      <w:r w:rsidR="0088547B" w:rsidRPr="00060A7D">
        <w:rPr>
          <w:rFonts w:ascii="Garamond" w:hAnsi="Garamond" w:cstheme="majorBidi"/>
          <w:i/>
          <w:iCs/>
          <w:sz w:val="24"/>
          <w:szCs w:val="24"/>
        </w:rPr>
        <w:t>idak ada yang dapat memberi syafaat kecuali dengan izin-Nya</w:t>
      </w:r>
      <w:r w:rsidR="0088547B" w:rsidRPr="00060A7D">
        <w:rPr>
          <w:rFonts w:ascii="Garamond" w:hAnsi="Garamond" w:cstheme="majorBidi"/>
          <w:sz w:val="24"/>
          <w:szCs w:val="24"/>
        </w:rPr>
        <w:t xml:space="preserve">.” </w:t>
      </w:r>
    </w:p>
    <w:p w14:paraId="766A2F13" w14:textId="160BD4F9" w:rsidR="0088547B" w:rsidRPr="00060A7D" w:rsidRDefault="0088547B" w:rsidP="00060A7D">
      <w:pPr>
        <w:spacing w:after="0" w:line="360" w:lineRule="auto"/>
        <w:ind w:left="-2" w:firstLineChars="355" w:firstLine="852"/>
        <w:jc w:val="both"/>
        <w:rPr>
          <w:rFonts w:ascii="Garamond" w:hAnsi="Garamond" w:cstheme="majorBidi"/>
          <w:sz w:val="24"/>
          <w:szCs w:val="24"/>
        </w:rPr>
      </w:pPr>
      <w:r w:rsidRPr="00060A7D">
        <w:rPr>
          <w:rFonts w:ascii="Garamond" w:hAnsi="Garamond" w:cstheme="majorBidi"/>
          <w:sz w:val="24"/>
          <w:szCs w:val="24"/>
        </w:rPr>
        <w:t>Ayat ini kemudian dijadikan pijakan oleh kalangan ortodoks untuk memperkuat pandangan bahwa tetap ada kemungkinan adanya pihak yang dapat memberi syafaat, selama hal itu mendapat izin langsung dari Tuhan. Oleh karena itu, muncul pemahaman bahwa meskipun Tuhan adalah satu-satunya sumber kekuasaan, masih terdapat ruang bagi konsep penengah dalam konteks pertolongan di hari kiamat, namun sifatnya sangat bergantung pada kehendak ilahi, bukan otoritas pribadi</w:t>
      </w:r>
      <w:r w:rsidR="00595B54" w:rsidRPr="00060A7D">
        <w:rPr>
          <w:rFonts w:ascii="Garamond" w:hAnsi="Garamond" w:cstheme="majorBidi"/>
          <w:sz w:val="24"/>
          <w:szCs w:val="24"/>
        </w:rPr>
        <w:t xml:space="preserve"> </w:t>
      </w:r>
      <w:r w:rsidR="00595B54" w:rsidRPr="00060A7D">
        <w:rPr>
          <w:rFonts w:ascii="Garamond" w:hAnsi="Garamond" w:cstheme="majorBidi"/>
          <w:sz w:val="24"/>
          <w:szCs w:val="24"/>
        </w:rPr>
        <w:fldChar w:fldCharType="begin" w:fldLock="1"/>
      </w:r>
      <w:r w:rsidR="00D95E58" w:rsidRPr="00060A7D">
        <w:rPr>
          <w:rFonts w:ascii="Garamond" w:hAnsi="Garamond" w:cstheme="majorBidi"/>
          <w:sz w:val="24"/>
          <w:szCs w:val="24"/>
        </w:rPr>
        <w:instrText>ADDIN CSL_CITATION {"citationItems":[{"id":"ITEM-1","itemData":{"abstract":"The Last Day is one of the pillars of faith that must be believed by all Muslims. Many verses of the Qur'an mention the coming of this day. Several Muslim scholars have studied and interpreted these verses, one of them is Fazlur Rahman. He is one of the Chicago lecturers who is famous for his theory of double movement. There are four main themes that Fazlur Rahman studies about the verses of the end times: the afterlife, intercession, mizan and reckoning, and resurrection. These four themes are contained in his book, Major Themes of the Qur'an. In this book, Fazlur Rahman has several different views with classical scholars regarding eschatological verses. This research uses the Library Research method by taking from various existing sources.","author":[{"dropping-particle":"","family":"Rohman","given":"Abdur","non-dropping-particle":"","parse-names":false,"suffix":""}],"container-title":"Al-Ifkar","id":"ITEM-1","issue":"2","issued":{"date-parts":[["2021"]]},"page":"4-20","title":"Konsep Ayat-ayat Eskatologi Perspektif Fazlur Rahman","type":"article-journal","volume":"16"},"uris":["http://www.mendeley.com/documents/?uuid=c3ed1c0b-8e51-42b8-8693-1f47d489cb60"]}],"mendeley":{"formattedCitation":"(Rohman, 2021)","plainTextFormattedCitation":"(Rohman, 2021)","previouslyFormattedCitation":"(Rohman, 2021)"},"properties":{"noteIndex":0},"schema":"https://github.com/citation-style-language/schema/raw/master/csl-citation.json"}</w:instrText>
      </w:r>
      <w:r w:rsidR="00595B54" w:rsidRPr="00060A7D">
        <w:rPr>
          <w:rFonts w:ascii="Garamond" w:hAnsi="Garamond" w:cstheme="majorBidi"/>
          <w:sz w:val="24"/>
          <w:szCs w:val="24"/>
        </w:rPr>
        <w:fldChar w:fldCharType="separate"/>
      </w:r>
      <w:r w:rsidR="00595B54" w:rsidRPr="00060A7D">
        <w:rPr>
          <w:rFonts w:ascii="Garamond" w:hAnsi="Garamond" w:cstheme="majorBidi"/>
          <w:noProof/>
          <w:sz w:val="24"/>
          <w:szCs w:val="24"/>
        </w:rPr>
        <w:t>(Rohman, 2021)</w:t>
      </w:r>
      <w:r w:rsidR="00595B54" w:rsidRPr="00060A7D">
        <w:rPr>
          <w:rFonts w:ascii="Garamond" w:hAnsi="Garamond" w:cstheme="majorBidi"/>
          <w:sz w:val="24"/>
          <w:szCs w:val="24"/>
        </w:rPr>
        <w:fldChar w:fldCharType="end"/>
      </w:r>
      <w:r w:rsidRPr="00060A7D">
        <w:rPr>
          <w:rFonts w:ascii="Garamond" w:hAnsi="Garamond" w:cstheme="majorBidi"/>
          <w:sz w:val="24"/>
          <w:szCs w:val="24"/>
        </w:rPr>
        <w:t>.</w:t>
      </w:r>
    </w:p>
    <w:p w14:paraId="542DD510" w14:textId="77777777" w:rsidR="00DF2EB1" w:rsidRPr="00060A7D" w:rsidRDefault="00DF2EB1" w:rsidP="00060A7D">
      <w:pPr>
        <w:spacing w:after="0" w:line="360" w:lineRule="auto"/>
        <w:ind w:left="-2" w:firstLineChars="355" w:firstLine="852"/>
        <w:jc w:val="both"/>
        <w:rPr>
          <w:rFonts w:ascii="Garamond" w:hAnsi="Garamond" w:cstheme="majorBidi"/>
          <w:sz w:val="24"/>
          <w:szCs w:val="24"/>
        </w:rPr>
      </w:pPr>
      <w:r w:rsidRPr="00060A7D">
        <w:rPr>
          <w:rFonts w:ascii="Garamond" w:hAnsi="Garamond" w:cstheme="majorBidi"/>
          <w:sz w:val="24"/>
          <w:szCs w:val="24"/>
        </w:rPr>
        <w:t xml:space="preserve">Lebih jauh, pemikiran Fazlur Rahman mendorong rekonstruksi terhadap kerangka epistemologis dalam memahami syariat Islam. Ia mengusulkan agar tafsir tidak hanya didasarkan pada teks semata, melainkan juga pada pertimbangan etika universal, </w:t>
      </w:r>
      <w:proofErr w:type="spellStart"/>
      <w:r w:rsidRPr="00060A7D">
        <w:rPr>
          <w:rFonts w:ascii="Garamond" w:hAnsi="Garamond" w:cstheme="majorBidi"/>
          <w:sz w:val="24"/>
          <w:szCs w:val="24"/>
          <w:lang w:val="en-US"/>
        </w:rPr>
        <w:t>Maqasid</w:t>
      </w:r>
      <w:proofErr w:type="spellEnd"/>
      <w:r w:rsidRPr="00060A7D">
        <w:rPr>
          <w:rFonts w:ascii="Garamond" w:hAnsi="Garamond" w:cstheme="majorBidi"/>
          <w:sz w:val="24"/>
          <w:szCs w:val="24"/>
          <w:lang w:val="en-US"/>
        </w:rPr>
        <w:t xml:space="preserve"> syariah </w:t>
      </w:r>
      <w:r w:rsidRPr="00060A7D">
        <w:rPr>
          <w:rFonts w:ascii="Garamond" w:hAnsi="Garamond" w:cstheme="majorBidi"/>
          <w:sz w:val="24"/>
          <w:szCs w:val="24"/>
        </w:rPr>
        <w:t xml:space="preserve">(tujuan hukum Islam), dan keadilan sosial. Dalam hal ini, tafsir etik-hukum Rahman menawarkan pendekatan yang mampu mengintegrasikan teks dan konteks, norma dan realitas, serta wahyu dan dinamika kehidupan modern. Pendekatan ini menjadi solusi metodologis terhadap keterbatasan Islam tradisional dalam menjawab problematika sosial kontemporer seperti ketimpangan ekonomi, diskriminasi gender, dan hak asasi manusia. </w:t>
      </w:r>
    </w:p>
    <w:p w14:paraId="5B2CC030" w14:textId="5EE3A100" w:rsidR="00DF2EB1" w:rsidRPr="00060A7D" w:rsidRDefault="00DF2EB1" w:rsidP="00060A7D">
      <w:pPr>
        <w:spacing w:after="0" w:line="360" w:lineRule="auto"/>
        <w:ind w:left="-2" w:firstLineChars="355" w:firstLine="852"/>
        <w:jc w:val="both"/>
        <w:rPr>
          <w:rFonts w:ascii="Garamond" w:hAnsi="Garamond" w:cstheme="majorBidi"/>
          <w:sz w:val="24"/>
          <w:szCs w:val="24"/>
        </w:rPr>
      </w:pPr>
      <w:proofErr w:type="spellStart"/>
      <w:r w:rsidRPr="00060A7D">
        <w:rPr>
          <w:rFonts w:ascii="Garamond" w:hAnsi="Garamond" w:cstheme="majorBidi"/>
          <w:sz w:val="24"/>
          <w:szCs w:val="24"/>
          <w:lang w:val="en-US"/>
        </w:rPr>
        <w:t>Berdasarkan</w:t>
      </w:r>
      <w:proofErr w:type="spellEnd"/>
      <w:r w:rsidRPr="00060A7D">
        <w:rPr>
          <w:rFonts w:ascii="Garamond" w:hAnsi="Garamond" w:cstheme="majorBidi"/>
          <w:sz w:val="24"/>
          <w:szCs w:val="24"/>
        </w:rPr>
        <w:t xml:space="preserve"> kritik Fazlur Rahman terhadap Islam tradisional</w:t>
      </w:r>
      <w:r w:rsidRPr="00060A7D">
        <w:rPr>
          <w:rFonts w:ascii="Garamond" w:hAnsi="Garamond" w:cstheme="majorBidi"/>
          <w:sz w:val="24"/>
          <w:szCs w:val="24"/>
          <w:lang w:val="en-US"/>
        </w:rPr>
        <w:t xml:space="preserve">, </w:t>
      </w:r>
      <w:proofErr w:type="spellStart"/>
      <w:r w:rsidRPr="00060A7D">
        <w:rPr>
          <w:rFonts w:ascii="Garamond" w:hAnsi="Garamond" w:cstheme="majorBidi"/>
          <w:sz w:val="24"/>
          <w:szCs w:val="24"/>
          <w:lang w:val="en-US"/>
        </w:rPr>
        <w:t>hal</w:t>
      </w:r>
      <w:proofErr w:type="spellEnd"/>
      <w:r w:rsidRPr="00060A7D">
        <w:rPr>
          <w:rFonts w:ascii="Garamond" w:hAnsi="Garamond" w:cstheme="majorBidi"/>
          <w:sz w:val="24"/>
          <w:szCs w:val="24"/>
          <w:lang w:val="en-US"/>
        </w:rPr>
        <w:t xml:space="preserve"> </w:t>
      </w:r>
      <w:proofErr w:type="spellStart"/>
      <w:r w:rsidRPr="00060A7D">
        <w:rPr>
          <w:rFonts w:ascii="Garamond" w:hAnsi="Garamond" w:cstheme="majorBidi"/>
          <w:sz w:val="24"/>
          <w:szCs w:val="24"/>
          <w:lang w:val="en-US"/>
        </w:rPr>
        <w:t>tersebut</w:t>
      </w:r>
      <w:proofErr w:type="spellEnd"/>
      <w:r w:rsidRPr="00060A7D">
        <w:rPr>
          <w:rFonts w:ascii="Garamond" w:hAnsi="Garamond" w:cstheme="majorBidi"/>
          <w:sz w:val="24"/>
          <w:szCs w:val="24"/>
        </w:rPr>
        <w:t xml:space="preserve"> berkaitan erat dengan usahanya membangun fondasi tafsir etik-hukum yang bersifat inklusif, rasional, dan transformatif. Kritik tersebut tidak bersifat destruktif, tetapi menjadi pijakan awal untuk merumuskan ulang cara berpikir umat Islam dalam memahami Al-Qur’an sebagai kitab petunjuk yang hidup. Melalui pendekatan ini, hukum Islam tidak lagi dilihat sebagai perangkat aturan semata, melainkan sebagai manifestasi dari nilai-nilai moral ilahiah yang membentuk masyarakat yang adil, humanis, dan bermartabat.</w:t>
      </w:r>
    </w:p>
    <w:p w14:paraId="55368C74" w14:textId="77777777" w:rsidR="00F113E2" w:rsidRPr="00060A7D" w:rsidRDefault="00F113E2" w:rsidP="00060A7D">
      <w:pPr>
        <w:spacing w:after="0" w:line="360" w:lineRule="auto"/>
        <w:ind w:hanging="2"/>
        <w:rPr>
          <w:rFonts w:ascii="Garamond" w:hAnsi="Garamond" w:cstheme="majorBidi"/>
          <w:b/>
          <w:bCs/>
          <w:sz w:val="24"/>
          <w:szCs w:val="24"/>
        </w:rPr>
      </w:pPr>
      <w:r w:rsidRPr="00060A7D">
        <w:rPr>
          <w:rFonts w:ascii="Garamond" w:hAnsi="Garamond" w:cstheme="majorBidi"/>
          <w:b/>
          <w:bCs/>
          <w:sz w:val="24"/>
          <w:szCs w:val="24"/>
        </w:rPr>
        <w:t xml:space="preserve">Teori </w:t>
      </w:r>
      <w:r w:rsidRPr="00060A7D">
        <w:rPr>
          <w:rFonts w:ascii="Garamond" w:hAnsi="Garamond" w:cstheme="majorBidi"/>
          <w:b/>
          <w:bCs/>
          <w:i/>
          <w:iCs/>
          <w:sz w:val="24"/>
          <w:szCs w:val="24"/>
        </w:rPr>
        <w:t>Double Movement</w:t>
      </w:r>
    </w:p>
    <w:p w14:paraId="5E9B7E8C" w14:textId="37A3340F" w:rsidR="0008353B" w:rsidRPr="00060A7D" w:rsidRDefault="0008353B" w:rsidP="00060A7D">
      <w:pPr>
        <w:pStyle w:val="NoSpacing"/>
        <w:spacing w:line="360" w:lineRule="auto"/>
        <w:ind w:firstLine="851"/>
        <w:jc w:val="both"/>
        <w:rPr>
          <w:rFonts w:ascii="Garamond" w:hAnsi="Garamond" w:cstheme="majorBidi"/>
          <w:sz w:val="24"/>
          <w:szCs w:val="24"/>
          <w:lang w:val="id-ID"/>
        </w:rPr>
      </w:pPr>
      <w:r w:rsidRPr="00060A7D">
        <w:rPr>
          <w:rFonts w:ascii="Garamond" w:hAnsi="Garamond" w:cstheme="majorBidi"/>
          <w:sz w:val="24"/>
          <w:szCs w:val="24"/>
          <w:lang w:val="id-ID"/>
        </w:rPr>
        <w:t xml:space="preserve">Teori </w:t>
      </w:r>
      <w:r w:rsidRPr="00060A7D">
        <w:rPr>
          <w:rFonts w:ascii="Garamond" w:hAnsi="Garamond" w:cstheme="majorBidi"/>
          <w:i/>
          <w:iCs/>
          <w:sz w:val="24"/>
          <w:szCs w:val="24"/>
          <w:lang w:val="id-ID"/>
        </w:rPr>
        <w:t>Double Movement</w:t>
      </w:r>
      <w:r w:rsidRPr="00060A7D">
        <w:rPr>
          <w:rFonts w:ascii="Garamond" w:hAnsi="Garamond" w:cstheme="majorBidi"/>
          <w:sz w:val="24"/>
          <w:szCs w:val="24"/>
          <w:lang w:val="id-ID"/>
        </w:rPr>
        <w:t>, atau yang dikenal juga sebagai gerakan ganda, merupakan pendekatan dalam menafsirkan ayat-ayat Al-Qur’an dengan memperhatikan konteks kekinian dan mengaitkannya dengan latar historis saat Al-Qur’an diturunkan, lalu menarik kembali makna tersebut ke masa kini. Konsep ini diperkenalkan oleh Fazlur Rahman sebagai metode penafsiran yang menekankan pentingnya proses dua arah</w:t>
      </w:r>
      <w:r w:rsidR="0096289D" w:rsidRPr="00060A7D">
        <w:rPr>
          <w:rFonts w:ascii="Garamond" w:hAnsi="Garamond" w:cstheme="majorBidi"/>
          <w:sz w:val="24"/>
          <w:szCs w:val="24"/>
          <w:lang w:val="id-ID"/>
        </w:rPr>
        <w:t xml:space="preserve"> </w:t>
      </w:r>
      <w:r w:rsidR="0096289D" w:rsidRPr="00060A7D">
        <w:rPr>
          <w:rFonts w:ascii="Garamond" w:hAnsi="Garamond" w:cstheme="majorBidi"/>
          <w:sz w:val="24"/>
          <w:szCs w:val="24"/>
          <w:lang w:val="id-ID"/>
        </w:rPr>
        <w:fldChar w:fldCharType="begin" w:fldLock="1"/>
      </w:r>
      <w:r w:rsidR="0096289D" w:rsidRPr="00060A7D">
        <w:rPr>
          <w:rFonts w:ascii="Garamond" w:hAnsi="Garamond" w:cstheme="majorBidi"/>
          <w:sz w:val="24"/>
          <w:szCs w:val="24"/>
          <w:lang w:val="id-ID"/>
        </w:rPr>
        <w:instrText>ADDIN CSL_CITATION {"citationItems":[{"id":"ITEM-1","itemData":{"author":[{"dropping-particle":"","family":"Lestari","given":"Puput","non-dropping-particle":"","parse-names":false,"suffix":""}],"container-title":"Maqamat: Jurnal Ushuluddin dan Tasawuf","id":"ITEM-1","issue":"2","issued":{"date-parts":[["2024"]]},"page":"94-102","title":"Hermeneutika Fazlur Rahman Dan Contoh Penerapannya Dalam Tafsir Al-Qur'an","type":"article-journal","volume":"2"},"uris":["http://www.mendeley.com/documents/?uuid=76b0919f-0133-467c-bbdc-729865b7d099"]}],"mendeley":{"formattedCitation":"(P. Lestari, 2024)","plainTextFormattedCitation":"(P. Lestari, 2024)","previouslyFormattedCitation":"(P. Lestari, 2024)"},"properties":{"noteIndex":0},"schema":"https://github.com/citation-style-language/schema/raw/master/csl-citation.json"}</w:instrText>
      </w:r>
      <w:r w:rsidR="0096289D" w:rsidRPr="00060A7D">
        <w:rPr>
          <w:rFonts w:ascii="Garamond" w:hAnsi="Garamond" w:cstheme="majorBidi"/>
          <w:sz w:val="24"/>
          <w:szCs w:val="24"/>
          <w:lang w:val="id-ID"/>
        </w:rPr>
        <w:fldChar w:fldCharType="separate"/>
      </w:r>
      <w:r w:rsidR="0096289D" w:rsidRPr="00060A7D">
        <w:rPr>
          <w:rFonts w:ascii="Garamond" w:hAnsi="Garamond" w:cstheme="majorBidi"/>
          <w:noProof/>
          <w:sz w:val="24"/>
          <w:szCs w:val="24"/>
          <w:lang w:val="id-ID"/>
        </w:rPr>
        <w:t>(P. Lestari, 2024)</w:t>
      </w:r>
      <w:r w:rsidR="0096289D" w:rsidRPr="00060A7D">
        <w:rPr>
          <w:rFonts w:ascii="Garamond" w:hAnsi="Garamond" w:cstheme="majorBidi"/>
          <w:sz w:val="24"/>
          <w:szCs w:val="24"/>
          <w:lang w:val="id-ID"/>
        </w:rPr>
        <w:fldChar w:fldCharType="end"/>
      </w:r>
      <w:r w:rsidR="00EF0FD5" w:rsidRPr="00060A7D">
        <w:rPr>
          <w:rFonts w:ascii="Garamond" w:hAnsi="Garamond" w:cstheme="majorBidi"/>
          <w:sz w:val="24"/>
          <w:szCs w:val="24"/>
          <w:lang w:val="id-ID"/>
        </w:rPr>
        <w:t>.</w:t>
      </w:r>
      <w:r w:rsidRPr="00060A7D">
        <w:rPr>
          <w:rFonts w:ascii="Garamond" w:hAnsi="Garamond" w:cstheme="majorBidi"/>
          <w:sz w:val="24"/>
          <w:szCs w:val="24"/>
          <w:lang w:val="id-ID"/>
        </w:rPr>
        <w:t xml:space="preserve"> </w:t>
      </w:r>
      <w:r w:rsidR="00EF0FD5" w:rsidRPr="00060A7D">
        <w:rPr>
          <w:rFonts w:ascii="Garamond" w:hAnsi="Garamond" w:cstheme="majorBidi"/>
          <w:sz w:val="24"/>
          <w:szCs w:val="24"/>
          <w:lang w:val="id-ID"/>
        </w:rPr>
        <w:t>P</w:t>
      </w:r>
      <w:r w:rsidRPr="00060A7D">
        <w:rPr>
          <w:rFonts w:ascii="Garamond" w:hAnsi="Garamond" w:cstheme="majorBidi"/>
          <w:sz w:val="24"/>
          <w:szCs w:val="24"/>
          <w:lang w:val="id-ID"/>
        </w:rPr>
        <w:t>ertama, memahami persoalan-persoalan yang berkembang di masa sekarang; kemudian menelusuri kembali kondisi sosial, budaya, dan moral pada era turunnya wahyu untuk menggali prinsip-</w:t>
      </w:r>
      <w:r w:rsidRPr="00060A7D">
        <w:rPr>
          <w:rFonts w:ascii="Garamond" w:hAnsi="Garamond" w:cstheme="majorBidi"/>
          <w:sz w:val="24"/>
          <w:szCs w:val="24"/>
          <w:lang w:val="id-ID"/>
        </w:rPr>
        <w:lastRenderedPageBreak/>
        <w:t>prinsip etis dan hukum yang mendasari teks Al-Qur’an dan akhirnya mengembalikan prinsip-prinsip tersebut ke realitas masa kini dalam bentuk yang relevan dan aplikatif</w:t>
      </w:r>
      <w:r w:rsidR="00EF0FD5" w:rsidRPr="00060A7D">
        <w:rPr>
          <w:rFonts w:ascii="Garamond" w:hAnsi="Garamond" w:cstheme="majorBidi"/>
          <w:sz w:val="24"/>
          <w:szCs w:val="24"/>
          <w:lang w:val="id-ID"/>
        </w:rPr>
        <w:t xml:space="preserve"> </w:t>
      </w:r>
      <w:r w:rsidR="00EF0FD5" w:rsidRPr="00060A7D">
        <w:rPr>
          <w:rFonts w:ascii="Garamond" w:hAnsi="Garamond" w:cstheme="majorBidi"/>
          <w:sz w:val="24"/>
          <w:szCs w:val="24"/>
          <w:lang w:val="id-ID"/>
        </w:rPr>
        <w:fldChar w:fldCharType="begin" w:fldLock="1"/>
      </w:r>
      <w:r w:rsidR="0096289D" w:rsidRPr="00060A7D">
        <w:rPr>
          <w:rFonts w:ascii="Garamond" w:hAnsi="Garamond" w:cstheme="majorBidi"/>
          <w:sz w:val="24"/>
          <w:szCs w:val="24"/>
          <w:lang w:val="id-ID"/>
        </w:rPr>
        <w:instrText>ADDIN CSL_CITATION {"citationItems":[{"id":"ITEM-1","itemData":{"DOI":"10.58363/alfahmu.v2i1.26","ISSN":"2964-1659","abstract":"This paper discusses one of the Muslim intellectuals who played a major role in the development of the interpretation of the Koran, namely Fazlur Rahman. He is known for his theory of interpretation of the Koran which is called the double movement theory. This theory is interesting to discuss because it is a form of renewal of the methodology of interpreting the Koran in the modern era. So in this paper will be presented the definition of the theory and also how it is applied in life. Fazlur Rahman himself received religious education from an early age from his father and continued his studies to become a professor in the field of Islamic thought. This double movement theory has two movements, namely first by starting from looking at contemporary times towards the time when the Qur'an was revealed, then the second movement returns to the present. In general, this movement has a combination pattern of induction and deduction reasoning. This paper uses the method of analytical description of sources related to the research theme. So it can be concluded that the theory of the double movement is said to be relevant for use in the modern era where the meaning of the Koran becomes contextual and applicable. So that we are no longer trapped in the meaning of the Koran which is only textual. So it is hoped that in the future new contemporary interpretations of the Qur'an will emerge from this double movement theory.","author":[{"dropping-particle":"","family":"Umair","given":"Muhammad","non-dropping-particle":"","parse-names":false,"suffix":""},{"dropping-particle":"","family":"Said","given":"Hasani Ahmad","non-dropping-particle":"","parse-names":false,"suffix":""}],"container-title":"Al-Fahmu: Jurnal Ilmu Al-Qur'an dan Tafsir","id":"ITEM-1","issue":"1","issued":{"date-parts":[["2023"]]},"page":"71-81","title":"Fazlur Rahman dan Teori Double Movement: Definisi dan Aplikasi","type":"article-journal","volume":"2"},"uris":["http://www.mendeley.com/documents/?uuid=f503cf7d-68d9-4839-b902-7c136a6c9b5c"]}],"mendeley":{"formattedCitation":"(Umair &amp; Said, 2023)","plainTextFormattedCitation":"(Umair &amp; Said, 2023)","previouslyFormattedCitation":"(Umair &amp; Said, 2023)"},"properties":{"noteIndex":0},"schema":"https://github.com/citation-style-language/schema/raw/master/csl-citation.json"}</w:instrText>
      </w:r>
      <w:r w:rsidR="00EF0FD5" w:rsidRPr="00060A7D">
        <w:rPr>
          <w:rFonts w:ascii="Garamond" w:hAnsi="Garamond" w:cstheme="majorBidi"/>
          <w:sz w:val="24"/>
          <w:szCs w:val="24"/>
          <w:lang w:val="id-ID"/>
        </w:rPr>
        <w:fldChar w:fldCharType="separate"/>
      </w:r>
      <w:r w:rsidR="00EF0FD5" w:rsidRPr="00060A7D">
        <w:rPr>
          <w:rFonts w:ascii="Garamond" w:hAnsi="Garamond" w:cstheme="majorBidi"/>
          <w:noProof/>
          <w:sz w:val="24"/>
          <w:szCs w:val="24"/>
          <w:lang w:val="id-ID"/>
        </w:rPr>
        <w:t>(Umair &amp; Said, 2023)</w:t>
      </w:r>
      <w:r w:rsidR="00EF0FD5" w:rsidRPr="00060A7D">
        <w:rPr>
          <w:rFonts w:ascii="Garamond" w:hAnsi="Garamond" w:cstheme="majorBidi"/>
          <w:sz w:val="24"/>
          <w:szCs w:val="24"/>
          <w:lang w:val="id-ID"/>
        </w:rPr>
        <w:fldChar w:fldCharType="end"/>
      </w:r>
      <w:r w:rsidRPr="00060A7D">
        <w:rPr>
          <w:rFonts w:ascii="Garamond" w:hAnsi="Garamond" w:cstheme="majorBidi"/>
          <w:sz w:val="24"/>
          <w:szCs w:val="24"/>
          <w:lang w:val="id-ID"/>
        </w:rPr>
        <w:t>. Dengan kata lain, gerakan pertama adalah dari kondisi kekinian menuju konteks historis wahyu, dan gerakan kedua adalah dari prinsip yang diperoleh di masa lalu itu untuk diterapkan kembali dalam menjawab tantangan kontempore</w:t>
      </w:r>
      <w:r w:rsidR="00EF0FD5" w:rsidRPr="00060A7D">
        <w:rPr>
          <w:rFonts w:ascii="Garamond" w:hAnsi="Garamond" w:cstheme="majorBidi"/>
          <w:sz w:val="24"/>
          <w:szCs w:val="24"/>
          <w:lang w:val="id-ID"/>
        </w:rPr>
        <w:t>r</w:t>
      </w:r>
      <w:r w:rsidRPr="00060A7D">
        <w:rPr>
          <w:rFonts w:ascii="Garamond" w:hAnsi="Garamond" w:cstheme="majorBidi"/>
          <w:sz w:val="24"/>
          <w:szCs w:val="24"/>
          <w:lang w:val="id-ID"/>
        </w:rPr>
        <w:t>.</w:t>
      </w:r>
    </w:p>
    <w:p w14:paraId="28B71C8D" w14:textId="5C9BC32D" w:rsidR="00F113E2" w:rsidRPr="00060A7D" w:rsidRDefault="00F113E2" w:rsidP="00060A7D">
      <w:pPr>
        <w:pStyle w:val="NoSpacing"/>
        <w:spacing w:line="360" w:lineRule="auto"/>
        <w:ind w:firstLine="851"/>
        <w:jc w:val="both"/>
        <w:rPr>
          <w:rFonts w:ascii="Garamond" w:hAnsi="Garamond" w:cstheme="majorBidi"/>
          <w:sz w:val="24"/>
          <w:szCs w:val="24"/>
          <w:lang w:val="id-ID"/>
        </w:rPr>
      </w:pPr>
      <w:r w:rsidRPr="00060A7D">
        <w:rPr>
          <w:rFonts w:ascii="Garamond" w:hAnsi="Garamond" w:cstheme="majorBidi"/>
          <w:sz w:val="24"/>
          <w:szCs w:val="24"/>
          <w:lang w:val="id-ID"/>
        </w:rPr>
        <w:t>Fazlur Rahman dalam mewujudkan penafsiran Al-Qur’an yang universal dan fleksibel dia memiliki gagasan yang dianggap bagus dengan metodologi yang dia punya agar Al-Qur’an tidak dipahami secara parsial atau setengah-setengah saja dan tidak komprehensif, akan tetapi harus dimaknai kemudian dipahami secara menyeluruh dengan menjadikan satu kesatuan yang utuh agar memberikan output hasil penafsiran yang jelas dan konkrit.</w:t>
      </w:r>
      <w:r w:rsidR="00E55D3B" w:rsidRPr="00060A7D">
        <w:rPr>
          <w:rStyle w:val="FootnoteReference"/>
          <w:rFonts w:ascii="Garamond" w:hAnsi="Garamond"/>
          <w:sz w:val="24"/>
          <w:szCs w:val="24"/>
        </w:rPr>
        <w:fldChar w:fldCharType="begin" w:fldLock="1"/>
      </w:r>
      <w:r w:rsidR="00EC1D80" w:rsidRPr="00060A7D">
        <w:rPr>
          <w:rFonts w:ascii="Garamond" w:hAnsi="Garamond"/>
          <w:sz w:val="24"/>
          <w:szCs w:val="24"/>
          <w:lang w:val="id-ID"/>
        </w:rPr>
        <w:instrText>ADDIN CSL_CITATION {"citationItems":[{"id":"ITEM-1","itemData":{"DOI":"10.24239/rsy.v18i2.977","ISSN":"1978-7812","abstract":"Using hermeneutics as a method of contextual interpretation has begun to be massive in Indonesia, although its compatibility is still debatable. The double movement hermeneutics initiated by Fazlur Rahman is one of the methods widely adopted by Indonesian Muslim scholars in their research. This study tries to investigate the extent to which Fazlur Rahman's theory of double movement influences the development of contextual interpretation theory in Indonesia. This article uses the library research method by operationalizing the historical theory of Kuntowijoyo's thought in order to understand the development of thought more comprehensively. This study concludes that Rahman's double movement hermeneutics provides the basis for the emergence of contextual interpretation theories in Indonesia, such as The Ma'nā cum Maghzā theory and The Tafsīr Maqāshidī theory. The last two theories combine hermeneutics with the Ulūmul Qur'ān and Maqāsid Syarī’ah to formulate a contextual interpretation in Indonesia.","author":[{"dropping-particle":"","family":"Syauqi","given":"Muhammad Labib","non-dropping-particle":"","parse-names":false,"suffix":""}],"container-title":"Rausyan Fikr: Jurnal Ilmu Studi Ushuluddin dan Filsafat","id":"ITEM-1","issue":"2","issued":{"date-parts":[["2022"]]},"page":"189-215","title":"Hermeneutika Double Movement Fazlur Rahman Dan Signifikansinya Terhadap Penafsiran Kontekstual Al-Qur’an","type":"article-journal","volume":"18"},"uris":["http://www.mendeley.com/documents/?uuid=d05c09da-001a-4105-9f72-a1f690297a2b"]}],"mendeley":{"formattedCitation":"(Syauqi, 2022)","plainTextFormattedCitation":"(Syauqi, 2022)","previouslyFormattedCitation":"(Syauqi, 2022)"},"properties":{"noteIndex":0},"schema":"https://github.com/citation-style-language/schema/raw/master/csl-citation.json"}</w:instrText>
      </w:r>
      <w:r w:rsidR="00E55D3B" w:rsidRPr="00060A7D">
        <w:rPr>
          <w:rStyle w:val="FootnoteReference"/>
          <w:rFonts w:ascii="Garamond" w:hAnsi="Garamond"/>
          <w:sz w:val="24"/>
          <w:szCs w:val="24"/>
        </w:rPr>
        <w:fldChar w:fldCharType="separate"/>
      </w:r>
      <w:r w:rsidR="00E55D3B" w:rsidRPr="00060A7D">
        <w:rPr>
          <w:rFonts w:ascii="Garamond" w:hAnsi="Garamond"/>
          <w:bCs/>
          <w:noProof/>
          <w:sz w:val="24"/>
          <w:szCs w:val="24"/>
        </w:rPr>
        <w:t>(Syauqi, 2022)</w:t>
      </w:r>
      <w:r w:rsidR="00E55D3B" w:rsidRPr="00060A7D">
        <w:rPr>
          <w:rStyle w:val="FootnoteReference"/>
          <w:rFonts w:ascii="Garamond" w:hAnsi="Garamond"/>
          <w:sz w:val="24"/>
          <w:szCs w:val="24"/>
        </w:rPr>
        <w:fldChar w:fldCharType="end"/>
      </w:r>
    </w:p>
    <w:p w14:paraId="13CF21F8" w14:textId="77777777" w:rsidR="00F113E2" w:rsidRPr="00060A7D" w:rsidRDefault="00F113E2" w:rsidP="00060A7D">
      <w:pPr>
        <w:pStyle w:val="NoSpacing"/>
        <w:spacing w:line="360" w:lineRule="auto"/>
        <w:ind w:firstLine="851"/>
        <w:jc w:val="both"/>
        <w:rPr>
          <w:rFonts w:ascii="Garamond" w:hAnsi="Garamond" w:cstheme="majorBidi"/>
          <w:sz w:val="24"/>
          <w:szCs w:val="24"/>
          <w:lang w:val="id-ID"/>
        </w:rPr>
      </w:pPr>
      <w:r w:rsidRPr="00060A7D">
        <w:rPr>
          <w:rFonts w:ascii="Garamond" w:hAnsi="Garamond" w:cstheme="majorBidi"/>
          <w:sz w:val="24"/>
          <w:szCs w:val="24"/>
          <w:lang w:val="id-ID"/>
        </w:rPr>
        <w:t xml:space="preserve">Rahman menyatukan enam elemen dari kerangka kerjanya untuk menafsirkan kandungan etik-hukum Al-Qur'an dan menghubungkannya dengan kebutuhan umat Islam pada masa modern dalam apa yang disebut sebagai Teori Gerakan Ganda atau </w:t>
      </w:r>
      <w:r w:rsidRPr="00060A7D">
        <w:rPr>
          <w:rFonts w:ascii="Garamond" w:hAnsi="Garamond" w:cstheme="majorBidi"/>
          <w:i/>
          <w:iCs/>
          <w:sz w:val="24"/>
          <w:szCs w:val="24"/>
          <w:lang w:val="id-ID"/>
        </w:rPr>
        <w:t>Double Movement</w:t>
      </w:r>
      <w:r w:rsidRPr="00060A7D">
        <w:rPr>
          <w:rFonts w:ascii="Garamond" w:hAnsi="Garamond" w:cstheme="majorBidi"/>
          <w:sz w:val="24"/>
          <w:szCs w:val="24"/>
          <w:lang w:val="id-ID"/>
        </w:rPr>
        <w:t>. Ia meringkas hal ini sebagai berikut:</w:t>
      </w:r>
    </w:p>
    <w:p w14:paraId="0C56EB48" w14:textId="1D6ED088" w:rsidR="00F113E2" w:rsidRPr="00060A7D" w:rsidRDefault="00F113E2" w:rsidP="001F14A8">
      <w:pPr>
        <w:pStyle w:val="NoSpacing"/>
        <w:spacing w:after="120"/>
        <w:ind w:left="851" w:right="849" w:hanging="2"/>
        <w:jc w:val="both"/>
        <w:rPr>
          <w:rFonts w:ascii="Garamond" w:hAnsi="Garamond" w:cstheme="majorBidi"/>
          <w:i/>
          <w:iCs/>
          <w:sz w:val="24"/>
          <w:szCs w:val="24"/>
          <w:lang w:val="id-ID"/>
        </w:rPr>
      </w:pPr>
      <w:r w:rsidRPr="00060A7D">
        <w:rPr>
          <w:rFonts w:ascii="Garamond" w:hAnsi="Garamond" w:cstheme="majorBidi"/>
          <w:i/>
          <w:iCs/>
          <w:sz w:val="24"/>
          <w:szCs w:val="24"/>
          <w:lang w:val="id-ID"/>
        </w:rPr>
        <w:t>In building any genuine and viable Islamic set of laws and institutions, there has to be a twofold movement. First one must movefrom the concrete case treatments of the Qur'an- taking the necessary and relevant social conditions of that time into account - to thegeneral principles upon which the entire teaching converges.Second, from this general level there must be a movement back tospecific legislation, taking into account the necessary and relevantconditions now obtaining.</w:t>
      </w:r>
      <w:r w:rsidR="00E55D3B" w:rsidRPr="00060A7D">
        <w:rPr>
          <w:rStyle w:val="FootnoteReference"/>
          <w:rFonts w:ascii="Garamond" w:hAnsi="Garamond"/>
          <w:sz w:val="24"/>
          <w:szCs w:val="24"/>
        </w:rPr>
        <w:fldChar w:fldCharType="begin" w:fldLock="1"/>
      </w:r>
      <w:r w:rsidR="00EC1D80" w:rsidRPr="00060A7D">
        <w:rPr>
          <w:rFonts w:ascii="Garamond" w:hAnsi="Garamond"/>
          <w:sz w:val="24"/>
          <w:szCs w:val="24"/>
        </w:rPr>
        <w:instrText>ADDIN CSL_CITATION {"citationItems":[{"id":"ITEM-1","itemData":{"ISBN":"9780197200032","author":[{"dropping-particle":"","family":"Taji-Farouki","given":"S","non-dropping-particle":"","parse-names":false,"suffix":""},{"dropping-particle":"","family":"Studies","given":"Institute of Ismaili","non-dropping-particle":"","parse-names":false,"suffix":""}],"collection-title":"Qur'anic Studies Series","id":"ITEM-1","issued":{"date-parts":[["2006"]]},"publisher":"OUP","title":"Modern Muslim Intellectuals and the Qur'an","type":"book"},"uris":["http://www.mendeley.com/documents/?uuid=1ba128a5-5eaa-48fe-b9b7-4aeec7fbd142"]}],"mendeley":{"formattedCitation":"(Taji-Farouki &amp; Studies, 2006)","plainTextFormattedCitation":"(Taji-Farouki &amp; Studies, 2006)","previouslyFormattedCitation":"(Taji-Farouki &amp; Studies, 2006)"},"properties":{"noteIndex":0},"schema":"https://github.com/citation-style-language/schema/raw/master/csl-citation.json"}</w:instrText>
      </w:r>
      <w:r w:rsidR="00E55D3B" w:rsidRPr="00060A7D">
        <w:rPr>
          <w:rStyle w:val="FootnoteReference"/>
          <w:rFonts w:ascii="Garamond" w:hAnsi="Garamond"/>
          <w:sz w:val="24"/>
          <w:szCs w:val="24"/>
        </w:rPr>
        <w:fldChar w:fldCharType="separate"/>
      </w:r>
      <w:r w:rsidR="00E55D3B" w:rsidRPr="00060A7D">
        <w:rPr>
          <w:rFonts w:ascii="Garamond" w:hAnsi="Garamond"/>
          <w:noProof/>
          <w:sz w:val="24"/>
          <w:szCs w:val="24"/>
        </w:rPr>
        <w:t>(Taji-Farouki &amp; Studies, 2006)</w:t>
      </w:r>
      <w:r w:rsidR="00E55D3B" w:rsidRPr="00060A7D">
        <w:rPr>
          <w:rStyle w:val="FootnoteReference"/>
          <w:rFonts w:ascii="Garamond" w:hAnsi="Garamond"/>
          <w:sz w:val="24"/>
          <w:szCs w:val="24"/>
        </w:rPr>
        <w:fldChar w:fldCharType="end"/>
      </w:r>
    </w:p>
    <w:p w14:paraId="7D8CE7DE" w14:textId="04237DE0" w:rsidR="00F113E2" w:rsidRPr="00060A7D" w:rsidRDefault="00F113E2" w:rsidP="00060A7D">
      <w:pPr>
        <w:pStyle w:val="NoSpacing"/>
        <w:spacing w:line="360" w:lineRule="auto"/>
        <w:ind w:firstLine="851"/>
        <w:jc w:val="both"/>
        <w:rPr>
          <w:rFonts w:ascii="Garamond" w:hAnsi="Garamond" w:cstheme="majorBidi"/>
          <w:sz w:val="24"/>
          <w:szCs w:val="24"/>
        </w:rPr>
      </w:pPr>
      <w:r w:rsidRPr="00060A7D">
        <w:rPr>
          <w:rFonts w:ascii="Garamond" w:hAnsi="Garamond" w:cstheme="majorBidi"/>
          <w:sz w:val="24"/>
          <w:szCs w:val="24"/>
        </w:rPr>
        <w:t xml:space="preserve">Teori </w:t>
      </w:r>
      <w:r w:rsidRPr="00060A7D">
        <w:rPr>
          <w:rFonts w:ascii="Garamond" w:hAnsi="Garamond" w:cstheme="majorBidi"/>
          <w:i/>
          <w:iCs/>
          <w:sz w:val="24"/>
          <w:szCs w:val="24"/>
        </w:rPr>
        <w:t>Double Movement</w:t>
      </w:r>
      <w:r w:rsidRPr="00060A7D">
        <w:rPr>
          <w:rFonts w:ascii="Garamond" w:hAnsi="Garamond" w:cstheme="majorBidi"/>
          <w:sz w:val="24"/>
          <w:szCs w:val="24"/>
        </w:rPr>
        <w:t xml:space="preserve"> yang </w:t>
      </w:r>
      <w:proofErr w:type="spellStart"/>
      <w:r w:rsidRPr="00060A7D">
        <w:rPr>
          <w:rFonts w:ascii="Garamond" w:hAnsi="Garamond" w:cstheme="majorBidi"/>
          <w:sz w:val="24"/>
          <w:szCs w:val="24"/>
        </w:rPr>
        <w:t>dikemukakan</w:t>
      </w:r>
      <w:proofErr w:type="spellEnd"/>
      <w:r w:rsidRPr="00060A7D">
        <w:rPr>
          <w:rFonts w:ascii="Garamond" w:hAnsi="Garamond" w:cstheme="majorBidi"/>
          <w:sz w:val="24"/>
          <w:szCs w:val="24"/>
        </w:rPr>
        <w:t xml:space="preserve"> oleh Rahman </w:t>
      </w:r>
      <w:proofErr w:type="spellStart"/>
      <w:r w:rsidRPr="00060A7D">
        <w:rPr>
          <w:rFonts w:ascii="Garamond" w:hAnsi="Garamond" w:cstheme="majorBidi"/>
          <w:sz w:val="24"/>
          <w:szCs w:val="24"/>
        </w:rPr>
        <w:t>merupakan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hasil</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gabungan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antara</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pemikiran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tradisionalis</w:t>
      </w:r>
      <w:proofErr w:type="spellEnd"/>
      <w:r w:rsidRPr="00060A7D">
        <w:rPr>
          <w:rFonts w:ascii="Garamond" w:hAnsi="Garamond" w:cstheme="majorBidi"/>
          <w:sz w:val="24"/>
          <w:szCs w:val="24"/>
        </w:rPr>
        <w:t xml:space="preserve"> Muslim </w:t>
      </w:r>
      <w:proofErr w:type="spellStart"/>
      <w:r w:rsidRPr="00060A7D">
        <w:rPr>
          <w:rFonts w:ascii="Garamond" w:hAnsi="Garamond" w:cstheme="majorBidi"/>
          <w:sz w:val="24"/>
          <w:szCs w:val="24"/>
        </w:rPr>
        <w:t>dengan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hermeneutika</w:t>
      </w:r>
      <w:proofErr w:type="spellEnd"/>
      <w:r w:rsidRPr="00060A7D">
        <w:rPr>
          <w:rFonts w:ascii="Garamond" w:hAnsi="Garamond" w:cstheme="majorBidi"/>
          <w:sz w:val="24"/>
          <w:szCs w:val="24"/>
        </w:rPr>
        <w:t xml:space="preserve"> Barat yang modern. </w:t>
      </w:r>
      <w:proofErr w:type="spellStart"/>
      <w:r w:rsidRPr="00060A7D">
        <w:rPr>
          <w:rFonts w:ascii="Garamond" w:hAnsi="Garamond" w:cstheme="majorBidi"/>
          <w:sz w:val="24"/>
          <w:szCs w:val="24"/>
        </w:rPr>
        <w:t>Ini</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menunjukkan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bahwa</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pendekatan</w:t>
      </w:r>
      <w:proofErr w:type="spellEnd"/>
      <w:r w:rsidRPr="00060A7D">
        <w:rPr>
          <w:rFonts w:ascii="Garamond" w:hAnsi="Garamond" w:cstheme="majorBidi"/>
          <w:sz w:val="24"/>
          <w:szCs w:val="24"/>
        </w:rPr>
        <w:t xml:space="preserve"> yang </w:t>
      </w:r>
      <w:proofErr w:type="spellStart"/>
      <w:r w:rsidRPr="00060A7D">
        <w:rPr>
          <w:rFonts w:ascii="Garamond" w:hAnsi="Garamond" w:cstheme="majorBidi"/>
          <w:sz w:val="24"/>
          <w:szCs w:val="24"/>
        </w:rPr>
        <w:t>digunakan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dalam</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teori</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ini</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menggabungkan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elemen-elemen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dari</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kedua</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tradisi</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tersebut</w:t>
      </w:r>
      <w:proofErr w:type="spellEnd"/>
      <w:r w:rsidR="00C87944" w:rsidRPr="00060A7D">
        <w:rPr>
          <w:rFonts w:ascii="Garamond" w:hAnsi="Garamond" w:cstheme="majorBidi"/>
          <w:sz w:val="24"/>
          <w:szCs w:val="24"/>
        </w:rPr>
        <w:t xml:space="preserve"> </w:t>
      </w:r>
      <w:r w:rsidR="00C87944" w:rsidRPr="00060A7D">
        <w:rPr>
          <w:rFonts w:ascii="Garamond" w:hAnsi="Garamond" w:cstheme="majorBidi"/>
          <w:sz w:val="24"/>
          <w:szCs w:val="24"/>
        </w:rPr>
        <w:fldChar w:fldCharType="begin" w:fldLock="1"/>
      </w:r>
      <w:r w:rsidR="00C87944" w:rsidRPr="00060A7D">
        <w:rPr>
          <w:rFonts w:ascii="Garamond" w:hAnsi="Garamond" w:cstheme="majorBidi"/>
          <w:sz w:val="24"/>
          <w:szCs w:val="24"/>
        </w:rPr>
        <w:instrText>ADDIN CSL_CITATION {"citationItems":[{"id":"ITEM-1","itemData":{"DOI":"10.62039/ijiss.v1i2.27","abstract":"This article seeks to identify the ideas of Fazlur Rahman, a classical thinker who is also ultramodern and advances neo modernism. Muslims are required to have a critical understanding of the Western world. One of his contributions is the Double Movement hermeneutic technique. This technique has distinct properties that can be used to understand legal and social texts. To identify Fazlur Rahman's views, the literature research approach is performed. According to the findings, Rahman emphasized the need of knowing the socio-historical backdrop in the field of law. Rahman was crucial in the development of a more methodical interpretive building. Even though his method is not wholly novel, he made an important contribution by emphasizing socio-historical factors and the Double Movement approach. However, problems and flaws in his technique are still being contested among Muslim academics. This article discusses the benefits and drawbacks of this strategy, presenting a fair picture of Rahman's contribution to ultramodern Islamic thinking.","author":[{"dropping-particle":"","family":"Rozaq","given":"Abd.","non-dropping-particle":"","parse-names":false,"suffix":""}],"container-title":"International Journal of Islamicate Social Studies","id":"ITEM-1","issue":"2","issued":{"date-parts":[["2023","11","25"]]},"page":"121-131","title":"Qur'anic Hermeneutics and its Applications by Fazlur Rahman","type":"article-journal","volume":"1"},"uris":["http://www.mendeley.com/documents/?uuid=19d042c6-7115-4cab-a975-9649351131d3"]}],"mendeley":{"formattedCitation":"(Rozaq, 2023)","plainTextFormattedCitation":"(Rozaq, 2023)","previouslyFormattedCitation":"(Rozaq, 2023)"},"properties":{"noteIndex":0},"schema":"https://github.com/citation-style-language/schema/raw/master/csl-citation.json"}</w:instrText>
      </w:r>
      <w:r w:rsidR="00C87944" w:rsidRPr="00060A7D">
        <w:rPr>
          <w:rFonts w:ascii="Garamond" w:hAnsi="Garamond" w:cstheme="majorBidi"/>
          <w:sz w:val="24"/>
          <w:szCs w:val="24"/>
        </w:rPr>
        <w:fldChar w:fldCharType="separate"/>
      </w:r>
      <w:r w:rsidR="00C87944" w:rsidRPr="00060A7D">
        <w:rPr>
          <w:rFonts w:ascii="Garamond" w:hAnsi="Garamond" w:cstheme="majorBidi"/>
          <w:noProof/>
          <w:sz w:val="24"/>
          <w:szCs w:val="24"/>
        </w:rPr>
        <w:t>(Rozaq, 2023)</w:t>
      </w:r>
      <w:r w:rsidR="00C87944" w:rsidRPr="00060A7D">
        <w:rPr>
          <w:rFonts w:ascii="Garamond" w:hAnsi="Garamond" w:cstheme="majorBidi"/>
          <w:sz w:val="24"/>
          <w:szCs w:val="24"/>
        </w:rPr>
        <w:fldChar w:fldCharType="end"/>
      </w:r>
      <w:r w:rsidRPr="00060A7D">
        <w:rPr>
          <w:rFonts w:ascii="Garamond" w:hAnsi="Garamond" w:cstheme="majorBidi"/>
          <w:sz w:val="24"/>
          <w:szCs w:val="24"/>
        </w:rPr>
        <w:t xml:space="preserve">. Inti </w:t>
      </w:r>
      <w:proofErr w:type="spellStart"/>
      <w:r w:rsidRPr="00060A7D">
        <w:rPr>
          <w:rFonts w:ascii="Garamond" w:hAnsi="Garamond" w:cstheme="majorBidi"/>
          <w:sz w:val="24"/>
          <w:szCs w:val="24"/>
        </w:rPr>
        <w:t>dari</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teori</w:t>
      </w:r>
      <w:proofErr w:type="spellEnd"/>
      <w:r w:rsidRPr="00060A7D">
        <w:rPr>
          <w:rFonts w:ascii="Garamond" w:hAnsi="Garamond" w:cstheme="majorBidi"/>
          <w:sz w:val="24"/>
          <w:szCs w:val="24"/>
        </w:rPr>
        <w:t xml:space="preserve"> yang </w:t>
      </w:r>
      <w:proofErr w:type="spellStart"/>
      <w:r w:rsidRPr="00060A7D">
        <w:rPr>
          <w:rFonts w:ascii="Garamond" w:hAnsi="Garamond" w:cstheme="majorBidi"/>
          <w:sz w:val="24"/>
          <w:szCs w:val="24"/>
        </w:rPr>
        <w:t>dibuat</w:t>
      </w:r>
      <w:proofErr w:type="spellEnd"/>
      <w:r w:rsidRPr="00060A7D">
        <w:rPr>
          <w:rFonts w:ascii="Garamond" w:hAnsi="Garamond" w:cstheme="majorBidi"/>
          <w:sz w:val="24"/>
          <w:szCs w:val="24"/>
        </w:rPr>
        <w:t xml:space="preserve"> oleh Fazlur Rahman </w:t>
      </w:r>
      <w:proofErr w:type="spellStart"/>
      <w:r w:rsidRPr="00060A7D">
        <w:rPr>
          <w:rFonts w:ascii="Garamond" w:hAnsi="Garamond" w:cstheme="majorBidi"/>
          <w:sz w:val="24"/>
          <w:szCs w:val="24"/>
        </w:rPr>
        <w:t>dijelaskan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dalam</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bukunya</w:t>
      </w:r>
      <w:proofErr w:type="spellEnd"/>
      <w:r w:rsidRPr="00060A7D">
        <w:rPr>
          <w:rFonts w:ascii="Garamond" w:hAnsi="Garamond" w:cstheme="majorBidi"/>
          <w:sz w:val="24"/>
          <w:szCs w:val="24"/>
        </w:rPr>
        <w:t xml:space="preserve"> "Islam and Modernity: Transformation of an Intellectual Tradition". </w:t>
      </w:r>
      <w:proofErr w:type="spellStart"/>
      <w:r w:rsidRPr="00060A7D">
        <w:rPr>
          <w:rFonts w:ascii="Garamond" w:hAnsi="Garamond" w:cstheme="majorBidi"/>
          <w:sz w:val="24"/>
          <w:szCs w:val="24"/>
        </w:rPr>
        <w:t>Dalam</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buku</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ini</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dijelaskan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bahwa</w:t>
      </w:r>
      <w:proofErr w:type="spellEnd"/>
      <w:r w:rsidRPr="00060A7D">
        <w:rPr>
          <w:rFonts w:ascii="Garamond" w:hAnsi="Garamond" w:cstheme="majorBidi"/>
          <w:sz w:val="24"/>
          <w:szCs w:val="24"/>
        </w:rPr>
        <w:t xml:space="preserve"> proses </w:t>
      </w:r>
      <w:proofErr w:type="spellStart"/>
      <w:r w:rsidRPr="00060A7D">
        <w:rPr>
          <w:rFonts w:ascii="Garamond" w:hAnsi="Garamond" w:cstheme="majorBidi"/>
          <w:sz w:val="24"/>
          <w:szCs w:val="24"/>
        </w:rPr>
        <w:t>penafsiran</w:t>
      </w:r>
      <w:proofErr w:type="spellEnd"/>
      <w:r w:rsidRPr="00060A7D">
        <w:rPr>
          <w:rFonts w:ascii="Garamond" w:hAnsi="Garamond" w:cstheme="majorBidi"/>
          <w:sz w:val="24"/>
          <w:szCs w:val="24"/>
        </w:rPr>
        <w:t xml:space="preserve"> Al-Qur'an dan Sunnah </w:t>
      </w:r>
      <w:proofErr w:type="spellStart"/>
      <w:r w:rsidRPr="00060A7D">
        <w:rPr>
          <w:rFonts w:ascii="Garamond" w:hAnsi="Garamond" w:cstheme="majorBidi"/>
          <w:sz w:val="24"/>
          <w:szCs w:val="24"/>
        </w:rPr>
        <w:t>melibatkan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dua</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langkah</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atau</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gerakan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penting</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Pertama</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dari</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situasi</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saat</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ini</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menuju</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ke</w:t>
      </w:r>
      <w:proofErr w:type="spellEnd"/>
      <w:r w:rsidRPr="00060A7D">
        <w:rPr>
          <w:rFonts w:ascii="Garamond" w:hAnsi="Garamond" w:cstheme="majorBidi"/>
          <w:sz w:val="24"/>
          <w:szCs w:val="24"/>
        </w:rPr>
        <w:t xml:space="preserve"> masa </w:t>
      </w:r>
      <w:proofErr w:type="spellStart"/>
      <w:r w:rsidRPr="00060A7D">
        <w:rPr>
          <w:rFonts w:ascii="Garamond" w:hAnsi="Garamond" w:cstheme="majorBidi"/>
          <w:sz w:val="24"/>
          <w:szCs w:val="24"/>
        </w:rPr>
        <w:t>ketika</w:t>
      </w:r>
      <w:proofErr w:type="spellEnd"/>
      <w:r w:rsidRPr="00060A7D">
        <w:rPr>
          <w:rFonts w:ascii="Garamond" w:hAnsi="Garamond" w:cstheme="majorBidi"/>
          <w:sz w:val="24"/>
          <w:szCs w:val="24"/>
        </w:rPr>
        <w:t xml:space="preserve"> Al-Qur'an </w:t>
      </w:r>
      <w:proofErr w:type="spellStart"/>
      <w:r w:rsidRPr="00060A7D">
        <w:rPr>
          <w:rFonts w:ascii="Garamond" w:hAnsi="Garamond" w:cstheme="majorBidi"/>
          <w:sz w:val="24"/>
          <w:szCs w:val="24"/>
        </w:rPr>
        <w:t>diturunkan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Kemudian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langkah</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kedua</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adalah</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kembali</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lagi</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ke</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situasi</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saat</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ini</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dengan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mempertimbangkan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konteks</w:t>
      </w:r>
      <w:proofErr w:type="spellEnd"/>
      <w:r w:rsidRPr="00060A7D">
        <w:rPr>
          <w:rFonts w:ascii="Garamond" w:hAnsi="Garamond" w:cstheme="majorBidi"/>
          <w:sz w:val="24"/>
          <w:szCs w:val="24"/>
        </w:rPr>
        <w:t xml:space="preserve"> dan </w:t>
      </w:r>
      <w:proofErr w:type="spellStart"/>
      <w:r w:rsidRPr="00060A7D">
        <w:rPr>
          <w:rFonts w:ascii="Garamond" w:hAnsi="Garamond" w:cstheme="majorBidi"/>
          <w:sz w:val="24"/>
          <w:szCs w:val="24"/>
        </w:rPr>
        <w:t>tantangan</w:t>
      </w:r>
      <w:proofErr w:type="spellEnd"/>
      <w:r w:rsidRPr="00060A7D">
        <w:rPr>
          <w:rFonts w:ascii="Garamond" w:hAnsi="Garamond" w:cstheme="majorBidi"/>
          <w:sz w:val="24"/>
          <w:szCs w:val="24"/>
        </w:rPr>
        <w:t xml:space="preserve"> yang </w:t>
      </w:r>
      <w:proofErr w:type="spellStart"/>
      <w:r w:rsidRPr="00060A7D">
        <w:rPr>
          <w:rFonts w:ascii="Garamond" w:hAnsi="Garamond" w:cstheme="majorBidi"/>
          <w:sz w:val="24"/>
          <w:szCs w:val="24"/>
        </w:rPr>
        <w:t>dihadapi</w:t>
      </w:r>
      <w:proofErr w:type="spellEnd"/>
      <w:r w:rsidRPr="00060A7D">
        <w:rPr>
          <w:rFonts w:ascii="Garamond" w:hAnsi="Garamond" w:cstheme="majorBidi"/>
          <w:sz w:val="24"/>
          <w:szCs w:val="24"/>
        </w:rPr>
        <w:t xml:space="preserve"> oleh </w:t>
      </w:r>
      <w:proofErr w:type="spellStart"/>
      <w:r w:rsidRPr="00060A7D">
        <w:rPr>
          <w:rFonts w:ascii="Garamond" w:hAnsi="Garamond" w:cstheme="majorBidi"/>
          <w:sz w:val="24"/>
          <w:szCs w:val="24"/>
        </w:rPr>
        <w:t>masyarakat</w:t>
      </w:r>
      <w:proofErr w:type="spellEnd"/>
      <w:r w:rsidRPr="00060A7D">
        <w:rPr>
          <w:rFonts w:ascii="Garamond" w:hAnsi="Garamond" w:cstheme="majorBidi"/>
          <w:sz w:val="24"/>
          <w:szCs w:val="24"/>
        </w:rPr>
        <w:t xml:space="preserve"> modern</w:t>
      </w:r>
      <w:r w:rsidR="00072D0B" w:rsidRPr="00060A7D">
        <w:rPr>
          <w:rFonts w:ascii="Garamond" w:hAnsi="Garamond" w:cstheme="majorBidi"/>
          <w:sz w:val="24"/>
          <w:szCs w:val="24"/>
        </w:rPr>
        <w:t xml:space="preserve"> </w:t>
      </w:r>
      <w:r w:rsidR="00E55D3B" w:rsidRPr="00060A7D">
        <w:rPr>
          <w:rStyle w:val="FootnoteReference"/>
          <w:rFonts w:ascii="Garamond" w:hAnsi="Garamond"/>
          <w:sz w:val="24"/>
          <w:szCs w:val="24"/>
        </w:rPr>
        <w:fldChar w:fldCharType="begin" w:fldLock="1"/>
      </w:r>
      <w:r w:rsidR="000A5579" w:rsidRPr="00060A7D">
        <w:rPr>
          <w:rFonts w:ascii="Garamond" w:hAnsi="Garamond"/>
          <w:sz w:val="24"/>
          <w:szCs w:val="24"/>
        </w:rPr>
        <w:instrText>ADDIN CSL_CITATION {"citationItems":[{"id":"ITEM-1","itemData":{"ISBN":"0226702847","ISSN":"0335-5985","abstract":"\"As Professor Fazlur Rahman shows in the latest of a series of important contributions to Islamic intellectual history, the characteristic problems of the Muslim modernists—the adaptation to the needs of the contemporary situation of a holy book which draws its specific examples from the conditions of the seventh century and earlier—are by no means new. . . . In Professor Rahman's view the intellectual and therefore the social development of Islam has been impeded and distorted by two interrelated errors. The first was committed by those who, in reading the Koran, failed to recognize the differences between general principles and specific responses to 'concrete and particular historical situations.' . . . This very rigidity gave rise to the second major error, that of the secularists. By teaching and interpreting the Koran in such a way as to admit of no change or development, the dogmatists had created a situation in which Muslim societies, faced with the imperative need to educate their people for life in the modern world, were forced to make a painful and self-defeating choice—either to abandon Koranic Islam, or to turn their backs on the modern world.\"—Bernard Lewis, New York Review of Books \"In this work, Professor Fazlur Rahman presents a positively ambitious blueprint for the transformation of the intellectual tradition of Islam: theology, ethics, philosophy and jurisprudence. Over the voices advocating a return to Islam or the reestablishment of the Sharia, the guide for action, he astutely and soberly asks: What and which Islam? More importantly, how does one get to 'normative' Islam? The author counsels, and passionately demonstrates, that for Islam to be actually what Muslims claim it to be—comprehensive in scope and efficacious for every age and place—Muslim scholars and educationists must reevaluate their methodology and hermeneutics. In spelling out the necessary and sound methodology, he is at once courageous, serious and profound.\"—Wadi Z. Haddad, American-Arab Affairs","author":[{"dropping-particle":"","family":"Fazrul","given":"Rahman","non-dropping-particle":"","parse-names":false,"suffix":""}],"collection-title":"Publications of the Center for Middle Eastern Studies","container-title":"Archives de Sciences Sociales des Religions","id":"ITEM-1","issue":"2","issued":{"date-parts":[["1984"]]},"number-of-pages":"302-303","publisher":"University of Chicago Press","title":"Islam and Modernity. Transformation of an Intellectual Tradition","type":"book","volume":"58"},"uris":["http://www.mendeley.com/documents/?uuid=6c59a489-f972-431b-93ae-54129f3491ab"]}],"mendeley":{"formattedCitation":"(Fazrul, 1984)","plainTextFormattedCitation":"(Fazrul, 1984)","previouslyFormattedCitation":"(Fazrul, 1984)"},"properties":{"noteIndex":0},"schema":"https://github.com/citation-style-language/schema/raw/master/csl-citation.json"}</w:instrText>
      </w:r>
      <w:r w:rsidR="00E55D3B" w:rsidRPr="00060A7D">
        <w:rPr>
          <w:rStyle w:val="FootnoteReference"/>
          <w:rFonts w:ascii="Garamond" w:hAnsi="Garamond"/>
          <w:sz w:val="24"/>
          <w:szCs w:val="24"/>
        </w:rPr>
        <w:fldChar w:fldCharType="separate"/>
      </w:r>
      <w:r w:rsidR="0088547B" w:rsidRPr="00060A7D">
        <w:rPr>
          <w:rFonts w:ascii="Garamond" w:hAnsi="Garamond"/>
          <w:noProof/>
          <w:sz w:val="24"/>
          <w:szCs w:val="24"/>
        </w:rPr>
        <w:t>(Fazrul, 1984)</w:t>
      </w:r>
      <w:r w:rsidR="00E55D3B" w:rsidRPr="00060A7D">
        <w:rPr>
          <w:rStyle w:val="FootnoteReference"/>
          <w:rFonts w:ascii="Garamond" w:hAnsi="Garamond"/>
          <w:sz w:val="24"/>
          <w:szCs w:val="24"/>
        </w:rPr>
        <w:fldChar w:fldCharType="end"/>
      </w:r>
      <w:r w:rsidR="00072D0B" w:rsidRPr="00060A7D">
        <w:rPr>
          <w:rFonts w:ascii="Garamond" w:hAnsi="Garamond"/>
          <w:sz w:val="24"/>
          <w:szCs w:val="24"/>
        </w:rPr>
        <w:t>.</w:t>
      </w:r>
    </w:p>
    <w:p w14:paraId="21A83120" w14:textId="77777777" w:rsidR="00F113E2" w:rsidRPr="00060A7D" w:rsidRDefault="00F113E2" w:rsidP="00060A7D">
      <w:pPr>
        <w:pStyle w:val="NoSpacing"/>
        <w:spacing w:line="360" w:lineRule="auto"/>
        <w:ind w:firstLine="851"/>
        <w:jc w:val="both"/>
        <w:rPr>
          <w:rFonts w:ascii="Garamond" w:hAnsi="Garamond" w:cstheme="majorBidi"/>
          <w:sz w:val="24"/>
          <w:szCs w:val="24"/>
        </w:rPr>
      </w:pPr>
      <w:proofErr w:type="spellStart"/>
      <w:r w:rsidRPr="00060A7D">
        <w:rPr>
          <w:rFonts w:ascii="Garamond" w:hAnsi="Garamond" w:cstheme="majorBidi"/>
          <w:sz w:val="24"/>
          <w:szCs w:val="24"/>
        </w:rPr>
        <w:t>Sebagai</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perbanding</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dalam</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penerapan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penafsiran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tentang</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ethico</w:t>
      </w:r>
      <w:proofErr w:type="spellEnd"/>
      <w:r w:rsidRPr="00060A7D">
        <w:rPr>
          <w:rFonts w:ascii="Garamond" w:hAnsi="Garamond" w:cstheme="majorBidi"/>
          <w:sz w:val="24"/>
          <w:szCs w:val="24"/>
        </w:rPr>
        <w:t xml:space="preserve">-legal </w:t>
      </w:r>
      <w:proofErr w:type="spellStart"/>
      <w:r w:rsidRPr="00060A7D">
        <w:rPr>
          <w:rFonts w:ascii="Garamond" w:hAnsi="Garamond" w:cstheme="majorBidi"/>
          <w:sz w:val="24"/>
          <w:szCs w:val="24"/>
        </w:rPr>
        <w:t>dalam</w:t>
      </w:r>
      <w:proofErr w:type="spellEnd"/>
      <w:r w:rsidRPr="00060A7D">
        <w:rPr>
          <w:rFonts w:ascii="Garamond" w:hAnsi="Garamond" w:cstheme="majorBidi"/>
          <w:sz w:val="24"/>
          <w:szCs w:val="24"/>
        </w:rPr>
        <w:t xml:space="preserve"> Al-Qur’an pada, Abdullah Saeed </w:t>
      </w:r>
      <w:proofErr w:type="spellStart"/>
      <w:r w:rsidRPr="00060A7D">
        <w:rPr>
          <w:rFonts w:ascii="Garamond" w:hAnsi="Garamond" w:cstheme="majorBidi"/>
          <w:sz w:val="24"/>
          <w:szCs w:val="24"/>
        </w:rPr>
        <w:t>memaparkan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bentuk-bentuk</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dari</w:t>
      </w:r>
      <w:proofErr w:type="spellEnd"/>
      <w:r w:rsidRPr="00060A7D">
        <w:rPr>
          <w:rFonts w:ascii="Garamond" w:hAnsi="Garamond" w:cstheme="majorBidi"/>
          <w:sz w:val="24"/>
          <w:szCs w:val="24"/>
        </w:rPr>
        <w:t xml:space="preserve"> ijtihad </w:t>
      </w:r>
      <w:proofErr w:type="spellStart"/>
      <w:r w:rsidRPr="00060A7D">
        <w:rPr>
          <w:rFonts w:ascii="Garamond" w:hAnsi="Garamond" w:cstheme="majorBidi"/>
          <w:sz w:val="24"/>
          <w:szCs w:val="24"/>
        </w:rPr>
        <w:t>progresif</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dari</w:t>
      </w:r>
      <w:proofErr w:type="spellEnd"/>
      <w:r w:rsidRPr="00060A7D">
        <w:rPr>
          <w:rFonts w:ascii="Garamond" w:hAnsi="Garamond" w:cstheme="majorBidi"/>
          <w:sz w:val="24"/>
          <w:szCs w:val="24"/>
        </w:rPr>
        <w:t xml:space="preserve"> para </w:t>
      </w:r>
      <w:proofErr w:type="spellStart"/>
      <w:r w:rsidRPr="00060A7D">
        <w:rPr>
          <w:rFonts w:ascii="Garamond" w:hAnsi="Garamond" w:cstheme="majorBidi"/>
          <w:sz w:val="24"/>
          <w:szCs w:val="24"/>
        </w:rPr>
        <w:t>tokoh</w:t>
      </w:r>
      <w:proofErr w:type="spellEnd"/>
      <w:r w:rsidRPr="00060A7D">
        <w:rPr>
          <w:rFonts w:ascii="Garamond" w:hAnsi="Garamond" w:cstheme="majorBidi"/>
          <w:sz w:val="24"/>
          <w:szCs w:val="24"/>
        </w:rPr>
        <w:t xml:space="preserve"> tafsir </w:t>
      </w:r>
      <w:proofErr w:type="spellStart"/>
      <w:r w:rsidRPr="00060A7D">
        <w:rPr>
          <w:rFonts w:ascii="Garamond" w:hAnsi="Garamond" w:cstheme="majorBidi"/>
          <w:sz w:val="24"/>
          <w:szCs w:val="24"/>
        </w:rPr>
        <w:t>kontekstualis</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terhadap</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ayat-ayat</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Ethico</w:t>
      </w:r>
      <w:proofErr w:type="spellEnd"/>
      <w:r w:rsidRPr="00060A7D">
        <w:rPr>
          <w:rFonts w:ascii="Garamond" w:hAnsi="Garamond" w:cstheme="majorBidi"/>
          <w:sz w:val="24"/>
          <w:szCs w:val="24"/>
        </w:rPr>
        <w:t xml:space="preserve">-legal </w:t>
      </w:r>
      <w:proofErr w:type="spellStart"/>
      <w:r w:rsidRPr="00060A7D">
        <w:rPr>
          <w:rFonts w:ascii="Garamond" w:hAnsi="Garamond" w:cstheme="majorBidi"/>
          <w:sz w:val="24"/>
          <w:szCs w:val="24"/>
        </w:rPr>
        <w:t>dalam</w:t>
      </w:r>
      <w:proofErr w:type="spellEnd"/>
      <w:r w:rsidRPr="00060A7D">
        <w:rPr>
          <w:rFonts w:ascii="Garamond" w:hAnsi="Garamond" w:cstheme="majorBidi"/>
          <w:sz w:val="24"/>
          <w:szCs w:val="24"/>
        </w:rPr>
        <w:t xml:space="preserve"> Al-Quran. </w:t>
      </w:r>
      <w:proofErr w:type="spellStart"/>
      <w:r w:rsidRPr="00060A7D">
        <w:rPr>
          <w:rFonts w:ascii="Garamond" w:hAnsi="Garamond" w:cstheme="majorBidi"/>
          <w:sz w:val="24"/>
          <w:szCs w:val="24"/>
        </w:rPr>
        <w:t>Saking</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pentingnya</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mengkaji</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tentang</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konsep</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ethico</w:t>
      </w:r>
      <w:proofErr w:type="spellEnd"/>
      <w:r w:rsidRPr="00060A7D">
        <w:rPr>
          <w:rFonts w:ascii="Garamond" w:hAnsi="Garamond" w:cstheme="majorBidi"/>
          <w:sz w:val="24"/>
          <w:szCs w:val="24"/>
        </w:rPr>
        <w:t xml:space="preserve">-legal pada </w:t>
      </w:r>
      <w:proofErr w:type="spellStart"/>
      <w:r w:rsidRPr="00060A7D">
        <w:rPr>
          <w:rFonts w:ascii="Garamond" w:hAnsi="Garamond" w:cstheme="majorBidi"/>
          <w:sz w:val="24"/>
          <w:szCs w:val="24"/>
        </w:rPr>
        <w:t>Alquran</w:t>
      </w:r>
      <w:proofErr w:type="spellEnd"/>
      <w:r w:rsidRPr="00060A7D">
        <w:rPr>
          <w:rFonts w:ascii="Garamond" w:hAnsi="Garamond" w:cstheme="majorBidi"/>
          <w:sz w:val="24"/>
          <w:szCs w:val="24"/>
        </w:rPr>
        <w:t xml:space="preserve">, Abdullah Saeed </w:t>
      </w:r>
      <w:proofErr w:type="spellStart"/>
      <w:r w:rsidRPr="00060A7D">
        <w:rPr>
          <w:rFonts w:ascii="Garamond" w:hAnsi="Garamond" w:cstheme="majorBidi"/>
          <w:sz w:val="24"/>
          <w:szCs w:val="24"/>
        </w:rPr>
        <w:t>mengatakan</w:t>
      </w:r>
      <w:proofErr w:type="spellEnd"/>
      <w:r w:rsidRPr="00060A7D">
        <w:rPr>
          <w:rFonts w:ascii="Garamond" w:hAnsi="Garamond" w:cstheme="majorBidi"/>
          <w:sz w:val="24"/>
          <w:szCs w:val="24"/>
        </w:rPr>
        <w:t xml:space="preserve">, </w:t>
      </w:r>
    </w:p>
    <w:p w14:paraId="4C716DAB" w14:textId="77777777" w:rsidR="00F113E2" w:rsidRPr="00060A7D" w:rsidRDefault="00F113E2" w:rsidP="001F14A8">
      <w:pPr>
        <w:pStyle w:val="NoSpacing"/>
        <w:spacing w:after="120"/>
        <w:ind w:left="851" w:right="849"/>
        <w:jc w:val="both"/>
        <w:rPr>
          <w:rFonts w:ascii="Garamond" w:hAnsi="Garamond" w:cstheme="majorBidi"/>
          <w:sz w:val="24"/>
          <w:szCs w:val="24"/>
        </w:rPr>
      </w:pPr>
      <w:r w:rsidRPr="00060A7D">
        <w:rPr>
          <w:rFonts w:ascii="Garamond" w:hAnsi="Garamond" w:cstheme="majorBidi"/>
          <w:sz w:val="24"/>
          <w:szCs w:val="24"/>
        </w:rPr>
        <w:lastRenderedPageBreak/>
        <w:t>“</w:t>
      </w:r>
      <w:r w:rsidRPr="00060A7D">
        <w:rPr>
          <w:rFonts w:ascii="Garamond" w:hAnsi="Garamond" w:cstheme="majorBidi"/>
          <w:i/>
          <w:iCs/>
          <w:sz w:val="24"/>
          <w:szCs w:val="24"/>
        </w:rPr>
        <w:t xml:space="preserve">One of the primary concerns of this reading is that in order to understand and interpret the </w:t>
      </w:r>
      <w:proofErr w:type="spellStart"/>
      <w:r w:rsidRPr="00060A7D">
        <w:rPr>
          <w:rFonts w:ascii="Garamond" w:hAnsi="Garamond" w:cstheme="majorBidi"/>
          <w:i/>
          <w:iCs/>
          <w:sz w:val="24"/>
          <w:szCs w:val="24"/>
        </w:rPr>
        <w:t>ethico</w:t>
      </w:r>
      <w:proofErr w:type="spellEnd"/>
      <w:r w:rsidRPr="00060A7D">
        <w:rPr>
          <w:rFonts w:ascii="Garamond" w:hAnsi="Garamond" w:cstheme="majorBidi"/>
          <w:i/>
          <w:iCs/>
          <w:sz w:val="24"/>
          <w:szCs w:val="24"/>
        </w:rPr>
        <w:t>-legal content of the Quran and relate that content to the changing needs and circumstances of Muslims today, it is important to approach the text at different levels, giving a high degree of emphasis to the sociohistorical context of the text</w:t>
      </w:r>
      <w:r w:rsidRPr="00060A7D">
        <w:rPr>
          <w:rFonts w:ascii="Garamond" w:hAnsi="Garamond" w:cstheme="majorBidi"/>
          <w:sz w:val="24"/>
          <w:szCs w:val="24"/>
        </w:rPr>
        <w:t xml:space="preserve">”. </w:t>
      </w:r>
    </w:p>
    <w:p w14:paraId="3689192E" w14:textId="67C18BD5" w:rsidR="00F113E2" w:rsidRPr="00060A7D" w:rsidRDefault="00F113E2" w:rsidP="00060A7D">
      <w:pPr>
        <w:pStyle w:val="NoSpacing"/>
        <w:spacing w:line="360" w:lineRule="auto"/>
        <w:ind w:firstLine="851"/>
        <w:jc w:val="both"/>
        <w:rPr>
          <w:rFonts w:ascii="Garamond" w:hAnsi="Garamond" w:cstheme="majorBidi"/>
          <w:sz w:val="24"/>
          <w:szCs w:val="24"/>
        </w:rPr>
      </w:pPr>
      <w:proofErr w:type="spellStart"/>
      <w:r w:rsidRPr="00060A7D">
        <w:rPr>
          <w:rFonts w:ascii="Garamond" w:hAnsi="Garamond" w:cstheme="majorBidi"/>
          <w:sz w:val="24"/>
          <w:szCs w:val="24"/>
        </w:rPr>
        <w:t>Menurut</w:t>
      </w:r>
      <w:proofErr w:type="spellEnd"/>
      <w:r w:rsidRPr="00060A7D">
        <w:rPr>
          <w:rFonts w:ascii="Garamond" w:hAnsi="Garamond" w:cstheme="majorBidi"/>
          <w:sz w:val="24"/>
          <w:szCs w:val="24"/>
        </w:rPr>
        <w:t xml:space="preserve"> Saeed, </w:t>
      </w:r>
      <w:proofErr w:type="spellStart"/>
      <w:r w:rsidRPr="00060A7D">
        <w:rPr>
          <w:rFonts w:ascii="Garamond" w:hAnsi="Garamond" w:cstheme="majorBidi"/>
          <w:sz w:val="24"/>
          <w:szCs w:val="24"/>
        </w:rPr>
        <w:t>kontekstualis</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biasanya</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identik</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dengan</w:t>
      </w:r>
      <w:proofErr w:type="spellEnd"/>
      <w:r w:rsidRPr="00060A7D">
        <w:rPr>
          <w:rFonts w:ascii="Garamond" w:hAnsi="Garamond" w:cstheme="majorBidi"/>
          <w:sz w:val="24"/>
          <w:szCs w:val="24"/>
        </w:rPr>
        <w:t xml:space="preserve"> para </w:t>
      </w:r>
      <w:proofErr w:type="spellStart"/>
      <w:r w:rsidRPr="00060A7D">
        <w:rPr>
          <w:rFonts w:ascii="Garamond" w:hAnsi="Garamond" w:cstheme="majorBidi"/>
          <w:sz w:val="24"/>
          <w:szCs w:val="24"/>
        </w:rPr>
        <w:t>reformis</w:t>
      </w:r>
      <w:proofErr w:type="spellEnd"/>
      <w:r w:rsidRPr="00060A7D">
        <w:rPr>
          <w:rFonts w:ascii="Garamond" w:hAnsi="Garamond" w:cstheme="majorBidi"/>
          <w:sz w:val="24"/>
          <w:szCs w:val="24"/>
        </w:rPr>
        <w:t xml:space="preserve"> Muslim. </w:t>
      </w:r>
      <w:proofErr w:type="spellStart"/>
      <w:r w:rsidRPr="00060A7D">
        <w:rPr>
          <w:rFonts w:ascii="Garamond" w:hAnsi="Garamond" w:cstheme="majorBidi"/>
          <w:sz w:val="24"/>
          <w:szCs w:val="24"/>
        </w:rPr>
        <w:t>Terdapat</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istilah</w:t>
      </w:r>
      <w:proofErr w:type="spellEnd"/>
      <w:r w:rsidRPr="00060A7D">
        <w:rPr>
          <w:rFonts w:ascii="Garamond" w:hAnsi="Garamond" w:cstheme="majorBidi"/>
          <w:sz w:val="24"/>
          <w:szCs w:val="24"/>
        </w:rPr>
        <w:t xml:space="preserve"> lain yang </w:t>
      </w:r>
      <w:proofErr w:type="spellStart"/>
      <w:r w:rsidRPr="00060A7D">
        <w:rPr>
          <w:rFonts w:ascii="Garamond" w:hAnsi="Garamond" w:cstheme="majorBidi"/>
          <w:sz w:val="24"/>
          <w:szCs w:val="24"/>
        </w:rPr>
        <w:t>mirip</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dengan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kontekstualis</w:t>
      </w:r>
      <w:proofErr w:type="spellEnd"/>
      <w:r w:rsidRPr="00060A7D">
        <w:rPr>
          <w:rFonts w:ascii="Garamond" w:hAnsi="Garamond" w:cstheme="majorBidi"/>
          <w:sz w:val="24"/>
          <w:szCs w:val="24"/>
        </w:rPr>
        <w:t xml:space="preserve">, Salah </w:t>
      </w:r>
      <w:proofErr w:type="spellStart"/>
      <w:r w:rsidRPr="00060A7D">
        <w:rPr>
          <w:rFonts w:ascii="Garamond" w:hAnsi="Garamond" w:cstheme="majorBidi"/>
          <w:sz w:val="24"/>
          <w:szCs w:val="24"/>
        </w:rPr>
        <w:t>satu</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tokoh</w:t>
      </w:r>
      <w:proofErr w:type="spellEnd"/>
      <w:r w:rsidRPr="00060A7D">
        <w:rPr>
          <w:rFonts w:ascii="Garamond" w:hAnsi="Garamond" w:cstheme="majorBidi"/>
          <w:sz w:val="24"/>
          <w:szCs w:val="24"/>
        </w:rPr>
        <w:t xml:space="preserve"> yang Saeed </w:t>
      </w:r>
      <w:proofErr w:type="spellStart"/>
      <w:r w:rsidRPr="00060A7D">
        <w:rPr>
          <w:rFonts w:ascii="Garamond" w:hAnsi="Garamond" w:cstheme="majorBidi"/>
          <w:sz w:val="24"/>
          <w:szCs w:val="24"/>
        </w:rPr>
        <w:t>kategorikan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sebagai</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praktisi</w:t>
      </w:r>
      <w:proofErr w:type="spellEnd"/>
      <w:r w:rsidRPr="00060A7D">
        <w:rPr>
          <w:rFonts w:ascii="Garamond" w:hAnsi="Garamond" w:cstheme="majorBidi"/>
          <w:sz w:val="24"/>
          <w:szCs w:val="24"/>
        </w:rPr>
        <w:t xml:space="preserve"> Ijtihad </w:t>
      </w:r>
      <w:proofErr w:type="spellStart"/>
      <w:r w:rsidRPr="00060A7D">
        <w:rPr>
          <w:rFonts w:ascii="Garamond" w:hAnsi="Garamond" w:cstheme="majorBidi"/>
          <w:sz w:val="24"/>
          <w:szCs w:val="24"/>
        </w:rPr>
        <w:t>Progresif</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adalah</w:t>
      </w:r>
      <w:proofErr w:type="spellEnd"/>
      <w:r w:rsidRPr="00060A7D">
        <w:rPr>
          <w:rFonts w:ascii="Garamond" w:hAnsi="Garamond" w:cstheme="majorBidi"/>
          <w:sz w:val="24"/>
          <w:szCs w:val="24"/>
        </w:rPr>
        <w:t xml:space="preserve"> Fazlur Rahman. Ijtihad </w:t>
      </w:r>
      <w:proofErr w:type="spellStart"/>
      <w:r w:rsidRPr="00060A7D">
        <w:rPr>
          <w:rFonts w:ascii="Garamond" w:hAnsi="Garamond" w:cstheme="majorBidi"/>
          <w:sz w:val="24"/>
          <w:szCs w:val="24"/>
        </w:rPr>
        <w:t>Progresif</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mencakup</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usaha</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untuk</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menafsirkan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ayat-ayat</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Alquran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dalam</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konteksnya</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serta</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mempertanyakan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kembali</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tradisi</w:t>
      </w:r>
      <w:proofErr w:type="spellEnd"/>
      <w:r w:rsidRPr="00060A7D">
        <w:rPr>
          <w:rFonts w:ascii="Garamond" w:hAnsi="Garamond" w:cstheme="majorBidi"/>
          <w:sz w:val="24"/>
          <w:szCs w:val="24"/>
        </w:rPr>
        <w:t xml:space="preserve"> yang </w:t>
      </w:r>
      <w:proofErr w:type="spellStart"/>
      <w:r w:rsidRPr="00060A7D">
        <w:rPr>
          <w:rFonts w:ascii="Garamond" w:hAnsi="Garamond" w:cstheme="majorBidi"/>
          <w:sz w:val="24"/>
          <w:szCs w:val="24"/>
        </w:rPr>
        <w:t>telah</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ada</w:t>
      </w:r>
      <w:proofErr w:type="spellEnd"/>
      <w:r w:rsidR="003A0461" w:rsidRPr="00060A7D">
        <w:rPr>
          <w:rFonts w:ascii="Garamond" w:hAnsi="Garamond" w:cstheme="majorBidi"/>
          <w:sz w:val="24"/>
          <w:szCs w:val="24"/>
        </w:rPr>
        <w:t xml:space="preserve"> </w:t>
      </w:r>
      <w:r w:rsidR="00E55D3B" w:rsidRPr="00060A7D">
        <w:rPr>
          <w:rStyle w:val="FootnoteReference"/>
          <w:rFonts w:ascii="Garamond" w:hAnsi="Garamond"/>
          <w:sz w:val="24"/>
          <w:szCs w:val="24"/>
        </w:rPr>
        <w:fldChar w:fldCharType="begin" w:fldLock="1"/>
      </w:r>
      <w:r w:rsidR="0096289D" w:rsidRPr="00060A7D">
        <w:rPr>
          <w:rFonts w:ascii="Garamond" w:hAnsi="Garamond"/>
          <w:sz w:val="24"/>
          <w:szCs w:val="24"/>
        </w:rPr>
        <w:instrText>ADDIN CSL_CITATION {"citationItems":[{"id":"ITEM-1","itemData":{"DOI":"10.32505/tibyan.v2i1.247","ISSN":"2442-594X","abstract":"Awareness of the relationship between text, context and interpreters always experiences dynamics from time to time. From the classical to contemporary times, every interpreter always tries to present the results of interpretations that give benefit to anyone. The same is true for contextual interpreters, such as Fazlur Rahman, Amina Wadud, Muhammad Syahrur, and Khaled Abou El Fadl who will be briefly reviewed in this article. This article is the result of Abdullah Saeed's reflection on four contemporary commentators in interpreting the verses of legal ethics. Abdullah Saeed is an Australian scientist from the Maldives. Abdullah Saeed is also present to give a new color in understanding the Qur'an by taking into account the context of the revelation and context when the Qur'an was interpreted. This article is adapted from Abdullah Saeed's article entitled \"Some Reflections on the Contextualist Approach to Ethico-legal Texts of the Quran\" which he published in the Bulletin of SOAS. Therefore, this article seeks to find the vertices of Abdullah Saeed's reflection on some contextualist thinking ideas.","author":[{"dropping-particle":"","family":"Lestari","given":"Lenni","non-dropping-particle":"","parse-names":false,"suffix":""}],"container-title":"Jurnal At-Tibyan: Jurnal Ilmu Alquran dan Tafsir","id":"ITEM-1","issue":"1","issued":{"date-parts":[["2017"]]},"page":"15","title":"Refleksi Abdullah Saeed Tentang Pendekatan Kontekstual Terhadap Ayat-Ayat Ethico-Legal Dalam Alquran","type":"article-journal","volume":"2"},"uris":["http://www.mendeley.com/documents/?uuid=ee1841e6-fa50-4e67-af2d-7dac35a25fb2"]}],"mendeley":{"formattedCitation":"(L. Lestari, 2017)","plainTextFormattedCitation":"(L. Lestari, 2017)","previouslyFormattedCitation":"(L. Lestari, 2017)"},"properties":{"noteIndex":0},"schema":"https://github.com/citation-style-language/schema/raw/master/csl-citation.json"}</w:instrText>
      </w:r>
      <w:r w:rsidR="00E55D3B" w:rsidRPr="00060A7D">
        <w:rPr>
          <w:rStyle w:val="FootnoteReference"/>
          <w:rFonts w:ascii="Garamond" w:hAnsi="Garamond"/>
          <w:sz w:val="24"/>
          <w:szCs w:val="24"/>
        </w:rPr>
        <w:fldChar w:fldCharType="separate"/>
      </w:r>
      <w:r w:rsidR="0096289D" w:rsidRPr="00060A7D">
        <w:rPr>
          <w:rFonts w:ascii="Garamond" w:hAnsi="Garamond"/>
          <w:bCs/>
          <w:noProof/>
          <w:sz w:val="24"/>
          <w:szCs w:val="24"/>
        </w:rPr>
        <w:t>(L. Lestari, 2017)</w:t>
      </w:r>
      <w:r w:rsidR="00E55D3B" w:rsidRPr="00060A7D">
        <w:rPr>
          <w:rStyle w:val="FootnoteReference"/>
          <w:rFonts w:ascii="Garamond" w:hAnsi="Garamond"/>
          <w:sz w:val="24"/>
          <w:szCs w:val="24"/>
        </w:rPr>
        <w:fldChar w:fldCharType="end"/>
      </w:r>
      <w:r w:rsidR="003A0461" w:rsidRPr="00060A7D">
        <w:rPr>
          <w:rFonts w:ascii="Garamond" w:hAnsi="Garamond"/>
          <w:sz w:val="24"/>
          <w:szCs w:val="24"/>
        </w:rPr>
        <w:t>.</w:t>
      </w:r>
      <w:r w:rsidRPr="00060A7D">
        <w:rPr>
          <w:rFonts w:ascii="Garamond" w:hAnsi="Garamond" w:cstheme="majorBidi"/>
          <w:sz w:val="24"/>
          <w:szCs w:val="24"/>
        </w:rPr>
        <w:t xml:space="preserve"> </w:t>
      </w:r>
      <w:r w:rsidR="003A0461" w:rsidRPr="00060A7D">
        <w:rPr>
          <w:rFonts w:ascii="Garamond" w:hAnsi="Garamond" w:cstheme="majorBidi"/>
          <w:sz w:val="24"/>
          <w:szCs w:val="24"/>
        </w:rPr>
        <w:t>S</w:t>
      </w:r>
      <w:r w:rsidRPr="00060A7D">
        <w:rPr>
          <w:rFonts w:ascii="Garamond" w:hAnsi="Garamond" w:cstheme="majorBidi"/>
          <w:sz w:val="24"/>
          <w:szCs w:val="24"/>
        </w:rPr>
        <w:t xml:space="preserve">aeed </w:t>
      </w:r>
      <w:proofErr w:type="spellStart"/>
      <w:r w:rsidRPr="00060A7D">
        <w:rPr>
          <w:rFonts w:ascii="Garamond" w:hAnsi="Garamond" w:cstheme="majorBidi"/>
          <w:sz w:val="24"/>
          <w:szCs w:val="24"/>
        </w:rPr>
        <w:t>menjelaskan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bahwa</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seseorang</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dianggap</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kontekstualis</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karena</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tiga</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alasan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utama</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mengikuti</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perkembangan</w:t>
      </w:r>
      <w:proofErr w:type="spellEnd"/>
      <w:r w:rsidRPr="00060A7D">
        <w:rPr>
          <w:rFonts w:ascii="Garamond" w:hAnsi="Garamond" w:cstheme="majorBidi"/>
          <w:sz w:val="24"/>
          <w:szCs w:val="24"/>
        </w:rPr>
        <w:t xml:space="preserve"> zaman </w:t>
      </w:r>
      <w:proofErr w:type="spellStart"/>
      <w:r w:rsidRPr="00060A7D">
        <w:rPr>
          <w:rFonts w:ascii="Garamond" w:hAnsi="Garamond" w:cstheme="majorBidi"/>
          <w:sz w:val="24"/>
          <w:szCs w:val="24"/>
        </w:rPr>
        <w:t>dengan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mempertimbangkan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keadilan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sosial</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hak</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asasi</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manusia</w:t>
      </w:r>
      <w:proofErr w:type="spellEnd"/>
      <w:r w:rsidRPr="00060A7D">
        <w:rPr>
          <w:rFonts w:ascii="Garamond" w:hAnsi="Garamond" w:cstheme="majorBidi"/>
          <w:sz w:val="24"/>
          <w:szCs w:val="24"/>
        </w:rPr>
        <w:t xml:space="preserve">, dan </w:t>
      </w:r>
      <w:proofErr w:type="spellStart"/>
      <w:r w:rsidRPr="00060A7D">
        <w:rPr>
          <w:rFonts w:ascii="Garamond" w:hAnsi="Garamond" w:cstheme="majorBidi"/>
          <w:sz w:val="24"/>
          <w:szCs w:val="24"/>
        </w:rPr>
        <w:t>hubungan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antar</w:t>
      </w:r>
      <w:proofErr w:type="spellEnd"/>
      <w:r w:rsidRPr="00060A7D">
        <w:rPr>
          <w:rFonts w:ascii="Garamond" w:hAnsi="Garamond" w:cstheme="majorBidi"/>
          <w:sz w:val="24"/>
          <w:szCs w:val="24"/>
        </w:rPr>
        <w:t xml:space="preserve"> agama. </w:t>
      </w:r>
      <w:proofErr w:type="spellStart"/>
      <w:r w:rsidRPr="00060A7D">
        <w:rPr>
          <w:rFonts w:ascii="Garamond" w:hAnsi="Garamond" w:cstheme="majorBidi"/>
          <w:sz w:val="24"/>
          <w:szCs w:val="24"/>
        </w:rPr>
        <w:t>Mereka</w:t>
      </w:r>
      <w:proofErr w:type="spellEnd"/>
      <w:r w:rsidRPr="00060A7D">
        <w:rPr>
          <w:rFonts w:ascii="Garamond" w:hAnsi="Garamond" w:cstheme="majorBidi"/>
          <w:sz w:val="24"/>
          <w:szCs w:val="24"/>
        </w:rPr>
        <w:t xml:space="preserve"> juga </w:t>
      </w:r>
      <w:proofErr w:type="spellStart"/>
      <w:r w:rsidRPr="00060A7D">
        <w:rPr>
          <w:rFonts w:ascii="Garamond" w:hAnsi="Garamond" w:cstheme="majorBidi"/>
          <w:sz w:val="24"/>
          <w:szCs w:val="24"/>
        </w:rPr>
        <w:t>cenderung</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mempertanyakan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metode</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atau</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praktik</w:t>
      </w:r>
      <w:proofErr w:type="spellEnd"/>
      <w:r w:rsidRPr="00060A7D">
        <w:rPr>
          <w:rFonts w:ascii="Garamond" w:hAnsi="Garamond" w:cstheme="majorBidi"/>
          <w:sz w:val="24"/>
          <w:szCs w:val="24"/>
        </w:rPr>
        <w:t xml:space="preserve"> yang </w:t>
      </w:r>
      <w:proofErr w:type="spellStart"/>
      <w:r w:rsidRPr="00060A7D">
        <w:rPr>
          <w:rFonts w:ascii="Garamond" w:hAnsi="Garamond" w:cstheme="majorBidi"/>
          <w:sz w:val="24"/>
          <w:szCs w:val="24"/>
        </w:rPr>
        <w:t>sesuai</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dengan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pemikiran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tradisional</w:t>
      </w:r>
      <w:proofErr w:type="spellEnd"/>
      <w:r w:rsidRPr="00060A7D">
        <w:rPr>
          <w:rFonts w:ascii="Garamond" w:hAnsi="Garamond" w:cstheme="majorBidi"/>
          <w:sz w:val="24"/>
          <w:szCs w:val="24"/>
        </w:rPr>
        <w:t xml:space="preserve"> Islam, </w:t>
      </w:r>
      <w:proofErr w:type="spellStart"/>
      <w:r w:rsidRPr="00060A7D">
        <w:rPr>
          <w:rFonts w:ascii="Garamond" w:hAnsi="Garamond" w:cstheme="majorBidi"/>
          <w:sz w:val="24"/>
          <w:szCs w:val="24"/>
        </w:rPr>
        <w:t>serta</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mengajukan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argumen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bahwa</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semua</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praktik</w:t>
      </w:r>
      <w:proofErr w:type="spellEnd"/>
      <w:r w:rsidRPr="00060A7D">
        <w:rPr>
          <w:rFonts w:ascii="Garamond" w:hAnsi="Garamond" w:cstheme="majorBidi"/>
          <w:sz w:val="24"/>
          <w:szCs w:val="24"/>
        </w:rPr>
        <w:t xml:space="preserve"> Islam </w:t>
      </w:r>
      <w:proofErr w:type="spellStart"/>
      <w:r w:rsidRPr="00060A7D">
        <w:rPr>
          <w:rFonts w:ascii="Garamond" w:hAnsi="Garamond" w:cstheme="majorBidi"/>
          <w:sz w:val="24"/>
          <w:szCs w:val="24"/>
        </w:rPr>
        <w:t>harus</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disesuaikan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dengan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kehidupan</w:t>
      </w:r>
      <w:proofErr w:type="spellEnd"/>
      <w:r w:rsidRPr="00060A7D">
        <w:rPr>
          <w:rFonts w:ascii="Garamond" w:hAnsi="Garamond" w:cstheme="majorBidi"/>
          <w:sz w:val="24"/>
          <w:szCs w:val="24"/>
        </w:rPr>
        <w:t xml:space="preserve"> modern dan </w:t>
      </w:r>
      <w:proofErr w:type="spellStart"/>
      <w:r w:rsidRPr="00060A7D">
        <w:rPr>
          <w:rFonts w:ascii="Garamond" w:hAnsi="Garamond" w:cstheme="majorBidi"/>
          <w:sz w:val="24"/>
          <w:szCs w:val="24"/>
        </w:rPr>
        <w:t>realitas</w:t>
      </w:r>
      <w:proofErr w:type="spellEnd"/>
      <w:r w:rsidRPr="00060A7D">
        <w:rPr>
          <w:rFonts w:ascii="Garamond" w:hAnsi="Garamond" w:cstheme="majorBidi"/>
          <w:sz w:val="24"/>
          <w:szCs w:val="24"/>
        </w:rPr>
        <w:t xml:space="preserve"> dunia Islam </w:t>
      </w:r>
      <w:proofErr w:type="spellStart"/>
      <w:r w:rsidRPr="00060A7D">
        <w:rPr>
          <w:rFonts w:ascii="Garamond" w:hAnsi="Garamond" w:cstheme="majorBidi"/>
          <w:sz w:val="24"/>
          <w:szCs w:val="24"/>
        </w:rPr>
        <w:t>saat</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ini</w:t>
      </w:r>
      <w:proofErr w:type="spellEnd"/>
      <w:r w:rsidR="00C87944" w:rsidRPr="00060A7D">
        <w:rPr>
          <w:rFonts w:ascii="Garamond" w:hAnsi="Garamond" w:cstheme="majorBidi"/>
          <w:sz w:val="24"/>
          <w:szCs w:val="24"/>
        </w:rPr>
        <w:t xml:space="preserve"> </w:t>
      </w:r>
      <w:r w:rsidR="00C87944" w:rsidRPr="00060A7D">
        <w:rPr>
          <w:rFonts w:ascii="Garamond" w:hAnsi="Garamond" w:cstheme="majorBidi"/>
          <w:sz w:val="24"/>
          <w:szCs w:val="24"/>
        </w:rPr>
        <w:fldChar w:fldCharType="begin" w:fldLock="1"/>
      </w:r>
      <w:r w:rsidR="009D5953" w:rsidRPr="00060A7D">
        <w:rPr>
          <w:rFonts w:ascii="Garamond" w:hAnsi="Garamond" w:cstheme="majorBidi"/>
          <w:sz w:val="24"/>
          <w:szCs w:val="24"/>
        </w:rPr>
        <w:instrText>ADDIN CSL_CITATION {"citationItems":[{"id":"ITEM-1","itemData":{"ISBN":"0202207296099","author":[{"dropping-particle":"","family":"Qomalisdy","given":"Lilyed Putri","non-dropping-particle":"","parse-names":false,"suffix":""},{"dropping-particle":"","family":"Aljazira","given":"Nur","non-dropping-particle":"","parse-names":false,"suffix":""},{"dropping-particle":"","family":"Irgi","given":"M.","non-dropping-particle":"","parse-names":false,"suffix":""}],"container-title":"Edusola : Journal Education, Sociology and Law","id":"ITEM-1","issue":"1","issued":{"date-parts":[["2025"]]},"page":"61-80","title":"Mengkaji Metode Tafsir Oleh Fazlur Rahman","type":"article-journal","volume":"1"},"uris":["http://www.mendeley.com/documents/?uuid=2cb3920b-4070-48cd-92bc-c64991691fca"]}],"mendeley":{"formattedCitation":"(Qomalisdy et al., 2025)","plainTextFormattedCitation":"(Qomalisdy et al., 2025)","previouslyFormattedCitation":"(Qomalisdy et al., 2025)"},"properties":{"noteIndex":0},"schema":"https://github.com/citation-style-language/schema/raw/master/csl-citation.json"}</w:instrText>
      </w:r>
      <w:r w:rsidR="00C87944" w:rsidRPr="00060A7D">
        <w:rPr>
          <w:rFonts w:ascii="Garamond" w:hAnsi="Garamond" w:cstheme="majorBidi"/>
          <w:sz w:val="24"/>
          <w:szCs w:val="24"/>
        </w:rPr>
        <w:fldChar w:fldCharType="separate"/>
      </w:r>
      <w:r w:rsidR="00C87944" w:rsidRPr="00060A7D">
        <w:rPr>
          <w:rFonts w:ascii="Garamond" w:hAnsi="Garamond" w:cstheme="majorBidi"/>
          <w:noProof/>
          <w:sz w:val="24"/>
          <w:szCs w:val="24"/>
        </w:rPr>
        <w:t>(Qomalisdy et al., 2025)</w:t>
      </w:r>
      <w:r w:rsidR="00C87944" w:rsidRPr="00060A7D">
        <w:rPr>
          <w:rFonts w:ascii="Garamond" w:hAnsi="Garamond" w:cstheme="majorBidi"/>
          <w:sz w:val="24"/>
          <w:szCs w:val="24"/>
        </w:rPr>
        <w:fldChar w:fldCharType="end"/>
      </w:r>
      <w:r w:rsidR="00C87944" w:rsidRPr="00060A7D">
        <w:rPr>
          <w:rFonts w:ascii="Garamond" w:hAnsi="Garamond" w:cstheme="majorBidi"/>
          <w:sz w:val="24"/>
          <w:szCs w:val="24"/>
        </w:rPr>
        <w:t xml:space="preserve">. </w:t>
      </w:r>
    </w:p>
    <w:p w14:paraId="4497CE4E" w14:textId="72AF6E2B" w:rsidR="00F113E2" w:rsidRPr="00060A7D" w:rsidRDefault="00F113E2" w:rsidP="00060A7D">
      <w:pPr>
        <w:pStyle w:val="NoSpacing"/>
        <w:spacing w:line="360" w:lineRule="auto"/>
        <w:ind w:firstLine="851"/>
        <w:jc w:val="both"/>
        <w:rPr>
          <w:rFonts w:ascii="Garamond" w:hAnsi="Garamond" w:cstheme="majorBidi"/>
          <w:sz w:val="24"/>
          <w:szCs w:val="24"/>
        </w:rPr>
      </w:pPr>
      <w:proofErr w:type="spellStart"/>
      <w:r w:rsidRPr="00060A7D">
        <w:rPr>
          <w:rFonts w:ascii="Garamond" w:hAnsi="Garamond" w:cstheme="majorBidi"/>
          <w:sz w:val="24"/>
          <w:szCs w:val="24"/>
        </w:rPr>
        <w:t>Bagi</w:t>
      </w:r>
      <w:proofErr w:type="spellEnd"/>
      <w:r w:rsidRPr="00060A7D">
        <w:rPr>
          <w:rFonts w:ascii="Garamond" w:hAnsi="Garamond" w:cstheme="majorBidi"/>
          <w:sz w:val="24"/>
          <w:szCs w:val="24"/>
        </w:rPr>
        <w:t xml:space="preserve"> Rahman, </w:t>
      </w:r>
      <w:proofErr w:type="spellStart"/>
      <w:r w:rsidRPr="00060A7D">
        <w:rPr>
          <w:rFonts w:ascii="Garamond" w:hAnsi="Garamond" w:cstheme="majorBidi"/>
          <w:sz w:val="24"/>
          <w:szCs w:val="24"/>
        </w:rPr>
        <w:t>langkah</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pertama</w:t>
      </w:r>
      <w:proofErr w:type="spellEnd"/>
      <w:r w:rsidRPr="00060A7D">
        <w:rPr>
          <w:rFonts w:ascii="Garamond" w:hAnsi="Garamond" w:cstheme="majorBidi"/>
          <w:sz w:val="24"/>
          <w:szCs w:val="24"/>
        </w:rPr>
        <w:t xml:space="preserve"> dan paling vital </w:t>
      </w:r>
      <w:proofErr w:type="spellStart"/>
      <w:r w:rsidRPr="00060A7D">
        <w:rPr>
          <w:rFonts w:ascii="Garamond" w:hAnsi="Garamond" w:cstheme="majorBidi"/>
          <w:sz w:val="24"/>
          <w:szCs w:val="24"/>
        </w:rPr>
        <w:t>dalam</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metodologi</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ini</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adalah</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menghasilkan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prinsip-prinsip</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umum</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melalui</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dua</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pendekatan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utama</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Pendekatan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pertama</w:t>
      </w:r>
      <w:proofErr w:type="spellEnd"/>
      <w:r w:rsidRPr="00060A7D">
        <w:rPr>
          <w:rFonts w:ascii="Garamond" w:hAnsi="Garamond" w:cstheme="majorBidi"/>
          <w:sz w:val="24"/>
          <w:szCs w:val="24"/>
        </w:rPr>
        <w:t xml:space="preserve"> yang </w:t>
      </w:r>
      <w:proofErr w:type="spellStart"/>
      <w:r w:rsidRPr="00060A7D">
        <w:rPr>
          <w:rFonts w:ascii="Garamond" w:hAnsi="Garamond" w:cstheme="majorBidi"/>
          <w:sz w:val="24"/>
          <w:szCs w:val="24"/>
        </w:rPr>
        <w:t>diambil</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dalam</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teorinya</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adalah</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melalui</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penelitian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sejarah</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Menyelidiki</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teks</w:t>
      </w:r>
      <w:proofErr w:type="spellEnd"/>
      <w:r w:rsidRPr="00060A7D">
        <w:rPr>
          <w:rFonts w:ascii="Garamond" w:hAnsi="Garamond" w:cstheme="majorBidi"/>
          <w:sz w:val="24"/>
          <w:szCs w:val="24"/>
        </w:rPr>
        <w:t xml:space="preserve"> Al-Qur'an </w:t>
      </w:r>
      <w:proofErr w:type="spellStart"/>
      <w:r w:rsidRPr="00060A7D">
        <w:rPr>
          <w:rFonts w:ascii="Garamond" w:hAnsi="Garamond" w:cstheme="majorBidi"/>
          <w:sz w:val="24"/>
          <w:szCs w:val="24"/>
        </w:rPr>
        <w:t>dalam</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konteks</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historisnya</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saja</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tidaklah</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cukup</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melainkan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membutuhkan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pendekatan</w:t>
      </w:r>
      <w:proofErr w:type="spellEnd"/>
      <w:r w:rsidRPr="00060A7D">
        <w:rPr>
          <w:rFonts w:ascii="Garamond" w:hAnsi="Garamond" w:cstheme="majorBidi"/>
          <w:sz w:val="24"/>
          <w:szCs w:val="24"/>
        </w:rPr>
        <w:t xml:space="preserve"> yang </w:t>
      </w:r>
      <w:proofErr w:type="spellStart"/>
      <w:r w:rsidRPr="00060A7D">
        <w:rPr>
          <w:rFonts w:ascii="Garamond" w:hAnsi="Garamond" w:cstheme="majorBidi"/>
          <w:sz w:val="24"/>
          <w:szCs w:val="24"/>
        </w:rPr>
        <w:t>memperhatikan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aspek</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kesejarahan</w:t>
      </w:r>
      <w:proofErr w:type="spellEnd"/>
      <w:r w:rsidR="00072D0B" w:rsidRPr="00060A7D">
        <w:rPr>
          <w:rFonts w:ascii="Garamond" w:hAnsi="Garamond" w:cstheme="majorBidi"/>
          <w:sz w:val="24"/>
          <w:szCs w:val="24"/>
        </w:rPr>
        <w:t xml:space="preserve"> </w:t>
      </w:r>
      <w:r w:rsidR="00E55D3B" w:rsidRPr="00060A7D">
        <w:rPr>
          <w:rStyle w:val="FootnoteReference"/>
          <w:rFonts w:ascii="Garamond" w:hAnsi="Garamond"/>
          <w:sz w:val="24"/>
          <w:szCs w:val="24"/>
        </w:rPr>
        <w:fldChar w:fldCharType="begin" w:fldLock="1"/>
      </w:r>
      <w:r w:rsidR="00EC1D80" w:rsidRPr="00060A7D">
        <w:rPr>
          <w:rFonts w:ascii="Garamond" w:hAnsi="Garamond"/>
          <w:sz w:val="24"/>
          <w:szCs w:val="24"/>
        </w:rPr>
        <w:instrText>ADDIN CSL_CITATION {"citationItems":[{"id":"ITEM-1","itemData":{"DOI":"10.29300/jpkth.v9i1.3313","ISSN":"25025384","abstract":"According to observers of Islamic thought, Fazlur Rahman is a figure whose thoughts are categorized as neomodernism, a pattern of thought that combines modern and traditional thought. Modernism, according to this pattern, is not something to be rejected, but modernism does not mean that the nature of traditionalism must be set aside. This is certainly in line with the Islamic thought of Fazlur Rahman who is always in developing his thoughts to see the development of past thoughts. In some cases, even the two realms of thought (modernism and traditionalism) can go hand in hand. If people follow Fazlur Rahman's way of thinking in all his works according to Syafi'i Ma'arif, people will know that he is very interested in developing the awareness of Muslims about their historical responsibilities with a solid moral foundation. This foundation can only be created if the Koran as a source of perfect moral teaching is understood in full and unified. This true and complete understanding must be done through a methodology that can be accounted for in a religious and scientific manner. According to Rahman, without an accurate and correct methodology, an understanding of the content of the Qur'an may be misleading, especially when approached partially and separately.","author":[{"dropping-particle":"","family":"Widayani","given":"Hana","non-dropping-particle":"","parse-names":false,"suffix":""}],"container-title":"El-Afkar: Jurnal Pemikiran Keislaman dan Tafsir Hadis","id":"ITEM-1","issue":"1","issued":{"date-parts":[["2020"]]},"page":"85","title":"Neomodernisme Islam dalam Perspektif Fazlur Rahman","type":"article-journal","volume":"9"},"uris":["http://www.mendeley.com/documents/?uuid=09d50180-d469-4550-a800-af6858b77c51"]}],"mendeley":{"formattedCitation":"(Widayani, 2020)","plainTextFormattedCitation":"(Widayani, 2020)","previouslyFormattedCitation":"(Widayani, 2020)"},"properties":{"noteIndex":0},"schema":"https://github.com/citation-style-language/schema/raw/master/csl-citation.json"}</w:instrText>
      </w:r>
      <w:r w:rsidR="00E55D3B" w:rsidRPr="00060A7D">
        <w:rPr>
          <w:rStyle w:val="FootnoteReference"/>
          <w:rFonts w:ascii="Garamond" w:hAnsi="Garamond"/>
          <w:sz w:val="24"/>
          <w:szCs w:val="24"/>
        </w:rPr>
        <w:fldChar w:fldCharType="separate"/>
      </w:r>
      <w:r w:rsidR="00E55D3B" w:rsidRPr="00060A7D">
        <w:rPr>
          <w:rFonts w:ascii="Garamond" w:hAnsi="Garamond"/>
          <w:bCs/>
          <w:noProof/>
          <w:sz w:val="24"/>
          <w:szCs w:val="24"/>
        </w:rPr>
        <w:t>(Widayani, 2020)</w:t>
      </w:r>
      <w:r w:rsidR="00E55D3B" w:rsidRPr="00060A7D">
        <w:rPr>
          <w:rStyle w:val="FootnoteReference"/>
          <w:rFonts w:ascii="Garamond" w:hAnsi="Garamond"/>
          <w:sz w:val="24"/>
          <w:szCs w:val="24"/>
        </w:rPr>
        <w:fldChar w:fldCharType="end"/>
      </w:r>
      <w:r w:rsidR="00072D0B" w:rsidRPr="00060A7D">
        <w:rPr>
          <w:rFonts w:ascii="Garamond" w:hAnsi="Garamond"/>
          <w:sz w:val="24"/>
          <w:szCs w:val="24"/>
        </w:rPr>
        <w:t>.</w:t>
      </w:r>
      <w:r w:rsidRPr="00060A7D">
        <w:rPr>
          <w:rFonts w:ascii="Garamond" w:hAnsi="Garamond" w:cstheme="majorBidi"/>
          <w:sz w:val="24"/>
          <w:szCs w:val="24"/>
        </w:rPr>
        <w:t xml:space="preserve"> </w:t>
      </w:r>
      <w:proofErr w:type="spellStart"/>
      <w:r w:rsidRPr="00060A7D">
        <w:rPr>
          <w:rFonts w:ascii="Garamond" w:hAnsi="Garamond" w:cstheme="majorBidi"/>
          <w:sz w:val="24"/>
          <w:szCs w:val="24"/>
        </w:rPr>
        <w:t>Dengan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mempertimbangkan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konteks</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sosio-historis</w:t>
      </w:r>
      <w:proofErr w:type="spellEnd"/>
      <w:r w:rsidRPr="00060A7D">
        <w:rPr>
          <w:rFonts w:ascii="Garamond" w:hAnsi="Garamond" w:cstheme="majorBidi"/>
          <w:sz w:val="24"/>
          <w:szCs w:val="24"/>
        </w:rPr>
        <w:t xml:space="preserve"> Al-Qur'an, </w:t>
      </w:r>
      <w:proofErr w:type="spellStart"/>
      <w:r w:rsidRPr="00060A7D">
        <w:rPr>
          <w:rFonts w:ascii="Garamond" w:hAnsi="Garamond" w:cstheme="majorBidi"/>
          <w:sz w:val="24"/>
          <w:szCs w:val="24"/>
        </w:rPr>
        <w:t>kita</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dapat</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mengeksplorasi</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kasus-kasus</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spesifik</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dalam</w:t>
      </w:r>
      <w:proofErr w:type="spellEnd"/>
      <w:r w:rsidRPr="00060A7D">
        <w:rPr>
          <w:rFonts w:ascii="Garamond" w:hAnsi="Garamond" w:cstheme="majorBidi"/>
          <w:sz w:val="24"/>
          <w:szCs w:val="24"/>
        </w:rPr>
        <w:t xml:space="preserve"> Al-Qur'an </w:t>
      </w:r>
      <w:proofErr w:type="spellStart"/>
      <w:r w:rsidRPr="00060A7D">
        <w:rPr>
          <w:rFonts w:ascii="Garamond" w:hAnsi="Garamond" w:cstheme="majorBidi"/>
          <w:sz w:val="24"/>
          <w:szCs w:val="24"/>
        </w:rPr>
        <w:t>untuk</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mencapai</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prinsip-prinsip</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umum</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seperti</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keadilan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atau</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ketidakadilan</w:t>
      </w:r>
      <w:proofErr w:type="spellEnd"/>
      <w:r w:rsidRPr="00060A7D">
        <w:rPr>
          <w:rFonts w:ascii="Garamond" w:hAnsi="Garamond" w:cstheme="majorBidi"/>
          <w:sz w:val="24"/>
          <w:szCs w:val="24"/>
        </w:rPr>
        <w:t>.</w:t>
      </w:r>
    </w:p>
    <w:p w14:paraId="0ED262F3" w14:textId="4EF28E88" w:rsidR="00F113E2" w:rsidRPr="00060A7D" w:rsidRDefault="00F113E2" w:rsidP="00060A7D">
      <w:pPr>
        <w:pStyle w:val="NoSpacing"/>
        <w:spacing w:line="360" w:lineRule="auto"/>
        <w:ind w:firstLine="851"/>
        <w:jc w:val="both"/>
        <w:rPr>
          <w:rFonts w:ascii="Garamond" w:hAnsi="Garamond" w:cstheme="majorBidi"/>
          <w:sz w:val="24"/>
          <w:szCs w:val="24"/>
        </w:rPr>
      </w:pPr>
      <w:r w:rsidRPr="00060A7D">
        <w:rPr>
          <w:rFonts w:ascii="Garamond" w:hAnsi="Garamond" w:cstheme="majorBidi"/>
          <w:sz w:val="24"/>
          <w:szCs w:val="24"/>
        </w:rPr>
        <w:t xml:space="preserve">Pada </w:t>
      </w:r>
      <w:proofErr w:type="spellStart"/>
      <w:r w:rsidRPr="00060A7D">
        <w:rPr>
          <w:rFonts w:ascii="Garamond" w:hAnsi="Garamond" w:cstheme="majorBidi"/>
          <w:sz w:val="24"/>
          <w:szCs w:val="24"/>
        </w:rPr>
        <w:t>tahap</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gerakan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kedua</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pemahaman</w:t>
      </w:r>
      <w:proofErr w:type="spellEnd"/>
      <w:r w:rsidRPr="00060A7D">
        <w:rPr>
          <w:rFonts w:ascii="Garamond" w:hAnsi="Garamond" w:cstheme="majorBidi"/>
          <w:sz w:val="24"/>
          <w:szCs w:val="24"/>
        </w:rPr>
        <w:t xml:space="preserve"> yang </w:t>
      </w:r>
      <w:proofErr w:type="spellStart"/>
      <w:r w:rsidRPr="00060A7D">
        <w:rPr>
          <w:rFonts w:ascii="Garamond" w:hAnsi="Garamond" w:cstheme="majorBidi"/>
          <w:sz w:val="24"/>
          <w:szCs w:val="24"/>
        </w:rPr>
        <w:t>baik</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tentang</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konteks</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kontemporer</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menjadi</w:t>
      </w:r>
      <w:proofErr w:type="spellEnd"/>
      <w:r w:rsidRPr="00060A7D">
        <w:rPr>
          <w:rFonts w:ascii="Garamond" w:hAnsi="Garamond" w:cstheme="majorBidi"/>
          <w:sz w:val="24"/>
          <w:szCs w:val="24"/>
        </w:rPr>
        <w:t xml:space="preserve"> sangat </w:t>
      </w:r>
      <w:proofErr w:type="spellStart"/>
      <w:r w:rsidRPr="00060A7D">
        <w:rPr>
          <w:rFonts w:ascii="Garamond" w:hAnsi="Garamond" w:cstheme="majorBidi"/>
          <w:sz w:val="24"/>
          <w:szCs w:val="24"/>
        </w:rPr>
        <w:t>penting</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Pendekatan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sosiologis</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dianggap</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mutlak</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diperlukan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untuk</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memberikan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arahan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nilai</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Pendekatan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etika</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menjadi</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landasan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umum</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untuk</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merumuskan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aturan</w:t>
      </w:r>
      <w:proofErr w:type="spellEnd"/>
      <w:r w:rsidRPr="00060A7D">
        <w:rPr>
          <w:rFonts w:ascii="Garamond" w:hAnsi="Garamond" w:cstheme="majorBidi"/>
          <w:sz w:val="24"/>
          <w:szCs w:val="24"/>
        </w:rPr>
        <w:t xml:space="preserve"> dan </w:t>
      </w:r>
      <w:proofErr w:type="spellStart"/>
      <w:r w:rsidRPr="00060A7D">
        <w:rPr>
          <w:rFonts w:ascii="Garamond" w:hAnsi="Garamond" w:cstheme="majorBidi"/>
          <w:sz w:val="24"/>
          <w:szCs w:val="24"/>
        </w:rPr>
        <w:t>hukum</w:t>
      </w:r>
      <w:proofErr w:type="spellEnd"/>
      <w:r w:rsidRPr="00060A7D">
        <w:rPr>
          <w:rFonts w:ascii="Garamond" w:hAnsi="Garamond" w:cstheme="majorBidi"/>
          <w:sz w:val="24"/>
          <w:szCs w:val="24"/>
        </w:rPr>
        <w:t xml:space="preserve"> yang </w:t>
      </w:r>
      <w:proofErr w:type="spellStart"/>
      <w:r w:rsidRPr="00060A7D">
        <w:rPr>
          <w:rFonts w:ascii="Garamond" w:hAnsi="Garamond" w:cstheme="majorBidi"/>
          <w:sz w:val="24"/>
          <w:szCs w:val="24"/>
        </w:rPr>
        <w:t>sesuai</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dengan</w:t>
      </w:r>
      <w:proofErr w:type="spellEnd"/>
      <w:r w:rsidRPr="00060A7D">
        <w:rPr>
          <w:rFonts w:ascii="Garamond" w:hAnsi="Garamond" w:cstheme="majorBidi"/>
          <w:sz w:val="24"/>
          <w:szCs w:val="24"/>
        </w:rPr>
        <w:t xml:space="preserve"> zaman modern. </w:t>
      </w:r>
      <w:proofErr w:type="spellStart"/>
      <w:r w:rsidRPr="00060A7D">
        <w:rPr>
          <w:rFonts w:ascii="Garamond" w:hAnsi="Garamond" w:cstheme="majorBidi"/>
          <w:sz w:val="24"/>
          <w:szCs w:val="24"/>
        </w:rPr>
        <w:t>Dalam</w:t>
      </w:r>
      <w:proofErr w:type="spellEnd"/>
      <w:r w:rsidRPr="00060A7D">
        <w:rPr>
          <w:rFonts w:ascii="Garamond" w:hAnsi="Garamond" w:cstheme="majorBidi"/>
          <w:sz w:val="24"/>
          <w:szCs w:val="24"/>
        </w:rPr>
        <w:t xml:space="preserve"> proses </w:t>
      </w:r>
      <w:proofErr w:type="spellStart"/>
      <w:r w:rsidRPr="00060A7D">
        <w:rPr>
          <w:rFonts w:ascii="Garamond" w:hAnsi="Garamond" w:cstheme="majorBidi"/>
          <w:sz w:val="24"/>
          <w:szCs w:val="24"/>
        </w:rPr>
        <w:t>merumuskan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aturan</w:t>
      </w:r>
      <w:proofErr w:type="spellEnd"/>
      <w:r w:rsidRPr="00060A7D">
        <w:rPr>
          <w:rFonts w:ascii="Garamond" w:hAnsi="Garamond" w:cstheme="majorBidi"/>
          <w:sz w:val="24"/>
          <w:szCs w:val="24"/>
        </w:rPr>
        <w:t xml:space="preserve"> dan </w:t>
      </w:r>
      <w:proofErr w:type="spellStart"/>
      <w:r w:rsidRPr="00060A7D">
        <w:rPr>
          <w:rFonts w:ascii="Garamond" w:hAnsi="Garamond" w:cstheme="majorBidi"/>
          <w:sz w:val="24"/>
          <w:szCs w:val="24"/>
        </w:rPr>
        <w:t>hukum</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tersebut</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penting</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bagi</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seseorang</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untuk</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sepenuhnya</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memahami</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kondisi-kondisi</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spesifik</w:t>
      </w:r>
      <w:proofErr w:type="spellEnd"/>
      <w:r w:rsidRPr="00060A7D">
        <w:rPr>
          <w:rFonts w:ascii="Garamond" w:hAnsi="Garamond" w:cstheme="majorBidi"/>
          <w:sz w:val="24"/>
          <w:szCs w:val="24"/>
        </w:rPr>
        <w:t xml:space="preserve"> yang </w:t>
      </w:r>
      <w:proofErr w:type="spellStart"/>
      <w:r w:rsidRPr="00060A7D">
        <w:rPr>
          <w:rFonts w:ascii="Garamond" w:hAnsi="Garamond" w:cstheme="majorBidi"/>
          <w:sz w:val="24"/>
          <w:szCs w:val="24"/>
        </w:rPr>
        <w:t>ada</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dalam</w:t>
      </w:r>
      <w:proofErr w:type="spellEnd"/>
      <w:r w:rsidRPr="00060A7D">
        <w:rPr>
          <w:rFonts w:ascii="Garamond" w:hAnsi="Garamond" w:cstheme="majorBidi"/>
          <w:sz w:val="24"/>
          <w:szCs w:val="24"/>
        </w:rPr>
        <w:t xml:space="preserve"> zaman modern</w:t>
      </w:r>
      <w:r w:rsidR="00072D0B" w:rsidRPr="00060A7D">
        <w:rPr>
          <w:rFonts w:ascii="Garamond" w:hAnsi="Garamond" w:cstheme="majorBidi"/>
          <w:sz w:val="24"/>
          <w:szCs w:val="24"/>
        </w:rPr>
        <w:t xml:space="preserve"> </w:t>
      </w:r>
      <w:r w:rsidR="00072D0B" w:rsidRPr="00060A7D">
        <w:rPr>
          <w:rFonts w:ascii="Garamond" w:hAnsi="Garamond" w:cstheme="majorBidi"/>
          <w:sz w:val="24"/>
          <w:szCs w:val="24"/>
        </w:rPr>
        <w:fldChar w:fldCharType="begin" w:fldLock="1"/>
      </w:r>
      <w:r w:rsidR="00072D0B" w:rsidRPr="00060A7D">
        <w:rPr>
          <w:rFonts w:ascii="Garamond" w:hAnsi="Garamond" w:cstheme="majorBidi"/>
          <w:sz w:val="24"/>
          <w:szCs w:val="24"/>
        </w:rPr>
        <w:instrText>ADDIN CSL_CITATION {"citationItems":[{"id":"ITEM-1","itemData":{"DOI":"10.51700/aliflam.v3i1.430","ISSN":"2775-2461","abstract":"Artikel ini membahas pendekatan studi tafsir kontemporer yang bercorak kritis dan transformatif. Kritisisme pendekatan tafsir kontemporer menempatkan produk penafsiran klasik bukan sebagai kebenaran mutlak, tetapi sebagai produk zaman yang perlu dikaji ulang. Pendekatan tafsir kontemporer menekankan transformasi makna untuk kepentingan transformasi umat dan memecahkan problem yang muncul berkembang dalam masyarakat muslim. Ada dua pertanyaan utama dalam artikel ini: Pertama, bagaimana metode pendekatan studi tafsir kontemporer. Kedua, bagaimana varian pendekatan tafisr kontemporer. Penelitian ini merupakan jenis penelitian kepustakaan dengan pendekatan kualitatif. Sumber data diperoleh melalui telaah kepustakaan, yakni sumber primer berupa buku-buku dan artikel yang terkait dengan studi tafsir kontemporer. Artikel ini menemukan; Pertama, pendekatan tafsir kontemporer menggunakan metodologi kontemporer multidisip di bidang sosial-humaniora. Kedua, metode tafsir kontemporer memiliki varian pendekatan seperti historis-kritis, sosiologis, hermeneutika dan linguistik.","author":[{"dropping-particle":"","family":"Sujai","given":"Akhmad","non-dropping-particle":"","parse-names":false,"suffix":""}],"container-title":"Alif Lam: Journal of Islamic Studies and Humanities","id":"ITEM-1","issue":"2","issued":{"date-parts":[["2022"]]},"page":"70-79","title":"Study Of The Al-Qur'an With A Modern Approach","type":"article-journal","volume":"3"},"uris":["http://www.mendeley.com/documents/?uuid=c01fce62-bc9d-4e72-88d9-329992eed364"]}],"mendeley":{"formattedCitation":"(Sujai, 2022)","plainTextFormattedCitation":"(Sujai, 2022)","previouslyFormattedCitation":"(Sujai, 2022)"},"properties":{"noteIndex":0},"schema":"https://github.com/citation-style-language/schema/raw/master/csl-citation.json"}</w:instrText>
      </w:r>
      <w:r w:rsidR="00072D0B" w:rsidRPr="00060A7D">
        <w:rPr>
          <w:rFonts w:ascii="Garamond" w:hAnsi="Garamond" w:cstheme="majorBidi"/>
          <w:sz w:val="24"/>
          <w:szCs w:val="24"/>
        </w:rPr>
        <w:fldChar w:fldCharType="separate"/>
      </w:r>
      <w:r w:rsidR="00072D0B" w:rsidRPr="00060A7D">
        <w:rPr>
          <w:rFonts w:ascii="Garamond" w:hAnsi="Garamond" w:cstheme="majorBidi"/>
          <w:noProof/>
          <w:sz w:val="24"/>
          <w:szCs w:val="24"/>
        </w:rPr>
        <w:t>(Sujai, 2022)</w:t>
      </w:r>
      <w:r w:rsidR="00072D0B" w:rsidRPr="00060A7D">
        <w:rPr>
          <w:rFonts w:ascii="Garamond" w:hAnsi="Garamond" w:cstheme="majorBidi"/>
          <w:sz w:val="24"/>
          <w:szCs w:val="24"/>
        </w:rPr>
        <w:fldChar w:fldCharType="end"/>
      </w:r>
      <w:r w:rsidR="00072D0B" w:rsidRPr="00060A7D">
        <w:rPr>
          <w:rFonts w:ascii="Garamond" w:hAnsi="Garamond" w:cstheme="majorBidi"/>
          <w:sz w:val="24"/>
          <w:szCs w:val="24"/>
        </w:rPr>
        <w:t xml:space="preserve">. </w:t>
      </w:r>
    </w:p>
    <w:p w14:paraId="1CAD107B" w14:textId="14C084E8" w:rsidR="00F113E2" w:rsidRPr="00060A7D" w:rsidRDefault="00F113E2" w:rsidP="00060A7D">
      <w:pPr>
        <w:pStyle w:val="NoSpacing"/>
        <w:spacing w:line="360" w:lineRule="auto"/>
        <w:ind w:firstLine="851"/>
        <w:jc w:val="both"/>
        <w:rPr>
          <w:rFonts w:ascii="Garamond" w:hAnsi="Garamond"/>
          <w:sz w:val="24"/>
          <w:szCs w:val="24"/>
        </w:rPr>
      </w:pPr>
      <w:r w:rsidRPr="00060A7D">
        <w:rPr>
          <w:rFonts w:ascii="Garamond" w:hAnsi="Garamond" w:cstheme="majorBidi"/>
          <w:sz w:val="24"/>
          <w:szCs w:val="24"/>
        </w:rPr>
        <w:t xml:space="preserve">Dari </w:t>
      </w:r>
      <w:proofErr w:type="spellStart"/>
      <w:r w:rsidRPr="00060A7D">
        <w:rPr>
          <w:rFonts w:ascii="Garamond" w:hAnsi="Garamond" w:cstheme="majorBidi"/>
          <w:sz w:val="24"/>
          <w:szCs w:val="24"/>
        </w:rPr>
        <w:t>teori</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tersebut</w:t>
      </w:r>
      <w:proofErr w:type="spellEnd"/>
      <w:r w:rsidRPr="00060A7D">
        <w:rPr>
          <w:rFonts w:ascii="Garamond" w:hAnsi="Garamond" w:cstheme="majorBidi"/>
          <w:sz w:val="24"/>
          <w:szCs w:val="24"/>
        </w:rPr>
        <w:t xml:space="preserve">, Rahman </w:t>
      </w:r>
      <w:proofErr w:type="spellStart"/>
      <w:r w:rsidRPr="00060A7D">
        <w:rPr>
          <w:rFonts w:ascii="Garamond" w:hAnsi="Garamond" w:cstheme="majorBidi"/>
          <w:sz w:val="24"/>
          <w:szCs w:val="24"/>
        </w:rPr>
        <w:t>menyatakan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bahwa</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pendekatan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atomistik</w:t>
      </w:r>
      <w:proofErr w:type="spellEnd"/>
      <w:r w:rsidRPr="00060A7D">
        <w:rPr>
          <w:rFonts w:ascii="Garamond" w:hAnsi="Garamond" w:cstheme="majorBidi"/>
          <w:sz w:val="24"/>
          <w:szCs w:val="24"/>
        </w:rPr>
        <w:t xml:space="preserve"> dan </w:t>
      </w:r>
      <w:proofErr w:type="spellStart"/>
      <w:r w:rsidRPr="00060A7D">
        <w:rPr>
          <w:rFonts w:ascii="Garamond" w:hAnsi="Garamond" w:cstheme="majorBidi"/>
          <w:sz w:val="24"/>
          <w:szCs w:val="24"/>
        </w:rPr>
        <w:t>literalistik</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dalam</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menafsirkan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teks</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hukum</w:t>
      </w:r>
      <w:proofErr w:type="spellEnd"/>
      <w:r w:rsidRPr="00060A7D">
        <w:rPr>
          <w:rFonts w:ascii="Garamond" w:hAnsi="Garamond" w:cstheme="majorBidi"/>
          <w:sz w:val="24"/>
          <w:szCs w:val="24"/>
        </w:rPr>
        <w:t xml:space="preserve">, yang </w:t>
      </w:r>
      <w:proofErr w:type="spellStart"/>
      <w:r w:rsidRPr="00060A7D">
        <w:rPr>
          <w:rFonts w:ascii="Garamond" w:hAnsi="Garamond" w:cstheme="majorBidi"/>
          <w:sz w:val="24"/>
          <w:szCs w:val="24"/>
        </w:rPr>
        <w:t>hanya</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memperhatikan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aspek</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bahasa</w:t>
      </w:r>
      <w:proofErr w:type="spellEnd"/>
      <w:r w:rsidRPr="00060A7D">
        <w:rPr>
          <w:rFonts w:ascii="Garamond" w:hAnsi="Garamond" w:cstheme="majorBidi"/>
          <w:sz w:val="24"/>
          <w:szCs w:val="24"/>
        </w:rPr>
        <w:t xml:space="preserve"> dan </w:t>
      </w:r>
      <w:proofErr w:type="spellStart"/>
      <w:r w:rsidRPr="00060A7D">
        <w:rPr>
          <w:rFonts w:ascii="Garamond" w:hAnsi="Garamond" w:cstheme="majorBidi"/>
          <w:sz w:val="24"/>
          <w:szCs w:val="24"/>
        </w:rPr>
        <w:t>semantik</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tidak</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lagi</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relevan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Konsep</w:t>
      </w:r>
      <w:proofErr w:type="spellEnd"/>
      <w:r w:rsidRPr="00060A7D">
        <w:rPr>
          <w:rFonts w:ascii="Garamond" w:hAnsi="Garamond" w:cstheme="majorBidi"/>
          <w:sz w:val="24"/>
          <w:szCs w:val="24"/>
        </w:rPr>
        <w:t xml:space="preserve"> </w:t>
      </w:r>
      <w:r w:rsidRPr="00060A7D">
        <w:rPr>
          <w:rFonts w:ascii="Garamond" w:hAnsi="Garamond" w:cstheme="majorBidi"/>
          <w:i/>
          <w:iCs/>
          <w:sz w:val="24"/>
          <w:szCs w:val="24"/>
        </w:rPr>
        <w:t>double movement</w:t>
      </w:r>
      <w:r w:rsidRPr="00060A7D">
        <w:rPr>
          <w:rFonts w:ascii="Garamond" w:hAnsi="Garamond" w:cstheme="majorBidi"/>
          <w:sz w:val="24"/>
          <w:szCs w:val="24"/>
        </w:rPr>
        <w:t xml:space="preserve"> </w:t>
      </w:r>
      <w:proofErr w:type="spellStart"/>
      <w:r w:rsidRPr="00060A7D">
        <w:rPr>
          <w:rFonts w:ascii="Garamond" w:hAnsi="Garamond" w:cstheme="majorBidi"/>
          <w:sz w:val="24"/>
          <w:szCs w:val="24"/>
        </w:rPr>
        <w:t>mengacu</w:t>
      </w:r>
      <w:proofErr w:type="spellEnd"/>
      <w:r w:rsidRPr="00060A7D">
        <w:rPr>
          <w:rFonts w:ascii="Garamond" w:hAnsi="Garamond" w:cstheme="majorBidi"/>
          <w:sz w:val="24"/>
          <w:szCs w:val="24"/>
        </w:rPr>
        <w:t xml:space="preserve"> pada </w:t>
      </w:r>
      <w:proofErr w:type="spellStart"/>
      <w:r w:rsidRPr="00060A7D">
        <w:rPr>
          <w:rFonts w:ascii="Garamond" w:hAnsi="Garamond" w:cstheme="majorBidi"/>
          <w:sz w:val="24"/>
          <w:szCs w:val="24"/>
        </w:rPr>
        <w:t>cara</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memahami</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teks</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hukum</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secara</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holistik</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dengan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memisahkan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normativitas</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hukum</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dari</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historisitasnya</w:t>
      </w:r>
      <w:proofErr w:type="spellEnd"/>
      <w:r w:rsidRPr="00060A7D">
        <w:rPr>
          <w:rFonts w:ascii="Garamond" w:hAnsi="Garamond" w:cstheme="majorBidi"/>
          <w:sz w:val="24"/>
          <w:szCs w:val="24"/>
        </w:rPr>
        <w:t xml:space="preserve">. Rahman juga </w:t>
      </w:r>
      <w:proofErr w:type="spellStart"/>
      <w:r w:rsidRPr="00060A7D">
        <w:rPr>
          <w:rFonts w:ascii="Garamond" w:hAnsi="Garamond" w:cstheme="majorBidi"/>
          <w:sz w:val="24"/>
          <w:szCs w:val="24"/>
        </w:rPr>
        <w:t>mendorong</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untuk</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membedakan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antara</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etika</w:t>
      </w:r>
      <w:proofErr w:type="spellEnd"/>
      <w:r w:rsidRPr="00060A7D">
        <w:rPr>
          <w:rFonts w:ascii="Garamond" w:hAnsi="Garamond" w:cstheme="majorBidi"/>
          <w:sz w:val="24"/>
          <w:szCs w:val="24"/>
        </w:rPr>
        <w:t xml:space="preserve"> Al-Qur'an dan </w:t>
      </w:r>
      <w:proofErr w:type="spellStart"/>
      <w:r w:rsidRPr="00060A7D">
        <w:rPr>
          <w:rFonts w:ascii="Garamond" w:hAnsi="Garamond" w:cstheme="majorBidi"/>
          <w:sz w:val="24"/>
          <w:szCs w:val="24"/>
        </w:rPr>
        <w:t>hukum</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Penafsiran</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tradisional</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cenderung</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lebih</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fokus</w:t>
      </w:r>
      <w:proofErr w:type="spellEnd"/>
      <w:r w:rsidRPr="00060A7D">
        <w:rPr>
          <w:rFonts w:ascii="Garamond" w:hAnsi="Garamond" w:cstheme="majorBidi"/>
          <w:sz w:val="24"/>
          <w:szCs w:val="24"/>
        </w:rPr>
        <w:t xml:space="preserve"> pada </w:t>
      </w:r>
      <w:proofErr w:type="spellStart"/>
      <w:r w:rsidRPr="00060A7D">
        <w:rPr>
          <w:rFonts w:ascii="Garamond" w:hAnsi="Garamond" w:cstheme="majorBidi"/>
          <w:sz w:val="24"/>
          <w:szCs w:val="24"/>
        </w:rPr>
        <w:t>masalah</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hukum</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daripada</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prinsip-prinsip</w:t>
      </w:r>
      <w:proofErr w:type="spellEnd"/>
      <w:r w:rsidRPr="00060A7D">
        <w:rPr>
          <w:rFonts w:ascii="Garamond" w:hAnsi="Garamond" w:cstheme="majorBidi"/>
          <w:sz w:val="24"/>
          <w:szCs w:val="24"/>
        </w:rPr>
        <w:t xml:space="preserve"> moral yang </w:t>
      </w:r>
      <w:proofErr w:type="spellStart"/>
      <w:r w:rsidRPr="00060A7D">
        <w:rPr>
          <w:rFonts w:ascii="Garamond" w:hAnsi="Garamond" w:cstheme="majorBidi"/>
          <w:sz w:val="24"/>
          <w:szCs w:val="24"/>
        </w:rPr>
        <w:t>menjadi</w:t>
      </w:r>
      <w:proofErr w:type="spellEnd"/>
      <w:r w:rsidRPr="00060A7D">
        <w:rPr>
          <w:rFonts w:ascii="Garamond" w:hAnsi="Garamond" w:cstheme="majorBidi"/>
          <w:sz w:val="24"/>
          <w:szCs w:val="24"/>
        </w:rPr>
        <w:t xml:space="preserve"> </w:t>
      </w:r>
      <w:proofErr w:type="spellStart"/>
      <w:r w:rsidRPr="00060A7D">
        <w:rPr>
          <w:rFonts w:ascii="Garamond" w:hAnsi="Garamond" w:cstheme="majorBidi"/>
          <w:sz w:val="24"/>
          <w:szCs w:val="24"/>
        </w:rPr>
        <w:t>landasannya</w:t>
      </w:r>
      <w:proofErr w:type="spellEnd"/>
      <w:r w:rsidR="009D5953" w:rsidRPr="00060A7D">
        <w:rPr>
          <w:rFonts w:ascii="Garamond" w:hAnsi="Garamond" w:cstheme="majorBidi"/>
          <w:sz w:val="24"/>
          <w:szCs w:val="24"/>
        </w:rPr>
        <w:t xml:space="preserve"> </w:t>
      </w:r>
      <w:r w:rsidR="009D5953" w:rsidRPr="00060A7D">
        <w:rPr>
          <w:rFonts w:ascii="Garamond" w:hAnsi="Garamond" w:cstheme="majorBidi"/>
          <w:sz w:val="24"/>
          <w:szCs w:val="24"/>
        </w:rPr>
        <w:fldChar w:fldCharType="begin" w:fldLock="1"/>
      </w:r>
      <w:r w:rsidR="009D5953" w:rsidRPr="00060A7D">
        <w:rPr>
          <w:rFonts w:ascii="Garamond" w:hAnsi="Garamond" w:cstheme="majorBidi"/>
          <w:sz w:val="24"/>
          <w:szCs w:val="24"/>
        </w:rPr>
        <w:instrText>ADDIN CSL_CITATION {"citationItems":[{"id":"ITEM-1","itemData":{"DOI":"10.54298/jk.v4i2.3314","abstract":"This study aims to analyze two types of interpretation in the double movement theory presented by Fazlur Rahman in his hermeneutical interpretation. As well as its application to the verses of the Koran related to pluralism, inclusivism, and polygamy. By using a qualitative methodology with the type of library research on the interpretation analysis presented by Fazlur Rahman, conclusions and results were found that there was a difference between Fazlur Rahman's interpretation and the interpretation of his predecessors. Despite the disagreements above, Fazlur Rahman's idea about the importance of contextual interpretation which he formulated in what he called double movements was too valuable not to be appreciated. While the various shortcomings as raised by several commentators as described above, it is our duty to complete them.","author":[{"dropping-particle":"El","family":"Rahma","given":"Vicky Izza","non-dropping-particle":"","parse-names":false,"suffix":""}],"container-title":"Jurnal Keislaman","id":"ITEM-1","issue":"2","issued":{"date-parts":[["2021","9","7"]]},"page":"127-143","title":"Double Movement: Hermeneutika Alquran Fazlur Rahman (Study kritis para ahli terhadap penafsiran Fazlur Rahman)","type":"article-journal","volume":"4"},"uris":["http://www.mendeley.com/documents/?uuid=326b5510-9737-456f-bf25-7533c1f953a5"]}],"mendeley":{"formattedCitation":"(Rahma, 2021)","plainTextFormattedCitation":"(Rahma, 2021)","previouslyFormattedCitation":"(Rahma, 2021)"},"properties":{"noteIndex":0},"schema":"https://github.com/citation-style-language/schema/raw/master/csl-citation.json"}</w:instrText>
      </w:r>
      <w:r w:rsidR="009D5953" w:rsidRPr="00060A7D">
        <w:rPr>
          <w:rFonts w:ascii="Garamond" w:hAnsi="Garamond" w:cstheme="majorBidi"/>
          <w:sz w:val="24"/>
          <w:szCs w:val="24"/>
        </w:rPr>
        <w:fldChar w:fldCharType="separate"/>
      </w:r>
      <w:r w:rsidR="009D5953" w:rsidRPr="00060A7D">
        <w:rPr>
          <w:rFonts w:ascii="Garamond" w:hAnsi="Garamond" w:cstheme="majorBidi"/>
          <w:noProof/>
          <w:sz w:val="24"/>
          <w:szCs w:val="24"/>
        </w:rPr>
        <w:t>(Rahma, 2021)</w:t>
      </w:r>
      <w:r w:rsidR="009D5953" w:rsidRPr="00060A7D">
        <w:rPr>
          <w:rFonts w:ascii="Garamond" w:hAnsi="Garamond" w:cstheme="majorBidi"/>
          <w:sz w:val="24"/>
          <w:szCs w:val="24"/>
        </w:rPr>
        <w:fldChar w:fldCharType="end"/>
      </w:r>
      <w:r w:rsidR="009D5953" w:rsidRPr="00060A7D">
        <w:rPr>
          <w:rFonts w:ascii="Garamond" w:hAnsi="Garamond" w:cstheme="majorBidi"/>
          <w:sz w:val="24"/>
          <w:szCs w:val="24"/>
        </w:rPr>
        <w:t>.</w:t>
      </w:r>
    </w:p>
    <w:p w14:paraId="64F73B0D" w14:textId="3DF5A219" w:rsidR="00EF0FD5" w:rsidRPr="00060A7D" w:rsidRDefault="00F63414" w:rsidP="00060A7D">
      <w:pPr>
        <w:pStyle w:val="NoSpacing"/>
        <w:spacing w:line="360" w:lineRule="auto"/>
        <w:ind w:firstLine="851"/>
        <w:jc w:val="both"/>
        <w:rPr>
          <w:rFonts w:ascii="Garamond" w:hAnsi="Garamond" w:cstheme="majorBidi"/>
          <w:sz w:val="24"/>
          <w:szCs w:val="24"/>
        </w:rPr>
      </w:pPr>
      <w:r w:rsidRPr="00060A7D">
        <w:rPr>
          <w:rFonts w:ascii="Garamond" w:hAnsi="Garamond" w:cstheme="majorBidi"/>
          <w:sz w:val="24"/>
          <w:szCs w:val="24"/>
          <w:lang w:val="id-ID"/>
        </w:rPr>
        <w:lastRenderedPageBreak/>
        <w:t>Meskipun lahir dari tradisi Barat, pendekatan hermeneutika yang digunakan oleh Fazlur Rahman sejatinya masih sejalan dengan tujuan utama dari ilmu tafsir dalam Islam, yaitu untuk mengungkap makna-makna tersembunyi (</w:t>
      </w:r>
      <w:r w:rsidRPr="00060A7D">
        <w:rPr>
          <w:rFonts w:ascii="Garamond" w:hAnsi="Garamond" w:cstheme="majorBidi"/>
          <w:i/>
          <w:iCs/>
          <w:sz w:val="24"/>
          <w:szCs w:val="24"/>
          <w:lang w:val="id-ID"/>
        </w:rPr>
        <w:t>al-kasyf</w:t>
      </w:r>
      <w:r w:rsidRPr="00060A7D">
        <w:rPr>
          <w:rFonts w:ascii="Garamond" w:hAnsi="Garamond" w:cstheme="majorBidi"/>
          <w:sz w:val="24"/>
          <w:szCs w:val="24"/>
          <w:lang w:val="id-ID"/>
        </w:rPr>
        <w:t>) dalam Al-Qur’an dan menjelaskannya secara logis dan rasional (</w:t>
      </w:r>
      <w:r w:rsidRPr="00060A7D">
        <w:rPr>
          <w:rFonts w:ascii="Garamond" w:hAnsi="Garamond" w:cstheme="majorBidi"/>
          <w:i/>
          <w:iCs/>
          <w:sz w:val="24"/>
          <w:szCs w:val="24"/>
          <w:lang w:val="id-ID"/>
        </w:rPr>
        <w:t>al-bayan</w:t>
      </w:r>
      <w:r w:rsidRPr="00060A7D">
        <w:rPr>
          <w:rFonts w:ascii="Garamond" w:hAnsi="Garamond" w:cstheme="majorBidi"/>
          <w:sz w:val="24"/>
          <w:szCs w:val="24"/>
          <w:lang w:val="id-ID"/>
        </w:rPr>
        <w:t xml:space="preserve">) </w:t>
      </w:r>
      <w:r w:rsidRPr="00060A7D">
        <w:rPr>
          <w:rFonts w:ascii="Garamond" w:hAnsi="Garamond" w:cstheme="majorBidi"/>
          <w:sz w:val="24"/>
          <w:szCs w:val="24"/>
          <w:lang w:val="id-ID"/>
        </w:rPr>
        <w:fldChar w:fldCharType="begin" w:fldLock="1"/>
      </w:r>
      <w:r w:rsidR="00CA47EB" w:rsidRPr="00060A7D">
        <w:rPr>
          <w:rFonts w:ascii="Garamond" w:hAnsi="Garamond" w:cstheme="majorBidi"/>
          <w:sz w:val="24"/>
          <w:szCs w:val="24"/>
          <w:lang w:val="id-ID"/>
        </w:rPr>
        <w:instrText>ADDIN CSL_CITATION {"citationItems":[{"id":"ITEM-1","itemData":{"ISBN":"2158244022109","author":[{"dropping-particle":"","family":"Nizhamuddin","given":"Muhammad","non-dropping-particle":"","parse-names":false,"suffix":""}],"container-title":"JISNAS: Journal of Islamic Scriptures in Non-Arabic Societies","id":"ITEM-1","issue":"1","issued":{"date-parts":[["2025"]]},"page":"17-39","title":"Eksplorasi Kritis Hermeneutika Fazlur Rahman dalam Interpretasi Ayat Riba","type":"article-journal","volume":"2"},"uris":["http://www.mendeley.com/documents/?uuid=cbe91db6-dda0-49ea-9ccc-fe1b2cf53356"]}],"mendeley":{"formattedCitation":"(Nizhamuddin, 2025)","plainTextFormattedCitation":"(Nizhamuddin, 2025)","previouslyFormattedCitation":"(Nizhamuddin, 2025)"},"properties":{"noteIndex":0},"schema":"https://github.com/citation-style-language/schema/raw/master/csl-citation.json"}</w:instrText>
      </w:r>
      <w:r w:rsidRPr="00060A7D">
        <w:rPr>
          <w:rFonts w:ascii="Garamond" w:hAnsi="Garamond" w:cstheme="majorBidi"/>
          <w:sz w:val="24"/>
          <w:szCs w:val="24"/>
          <w:lang w:val="id-ID"/>
        </w:rPr>
        <w:fldChar w:fldCharType="separate"/>
      </w:r>
      <w:r w:rsidRPr="00060A7D">
        <w:rPr>
          <w:rFonts w:ascii="Garamond" w:hAnsi="Garamond" w:cstheme="majorBidi"/>
          <w:noProof/>
          <w:sz w:val="24"/>
          <w:szCs w:val="24"/>
          <w:lang w:val="id-ID"/>
        </w:rPr>
        <w:t>(Nizhamuddin, 2025)</w:t>
      </w:r>
      <w:r w:rsidRPr="00060A7D">
        <w:rPr>
          <w:rFonts w:ascii="Garamond" w:hAnsi="Garamond" w:cstheme="majorBidi"/>
          <w:sz w:val="24"/>
          <w:szCs w:val="24"/>
          <w:lang w:val="id-ID"/>
        </w:rPr>
        <w:fldChar w:fldCharType="end"/>
      </w:r>
      <w:r w:rsidRPr="00060A7D">
        <w:rPr>
          <w:rFonts w:ascii="Garamond" w:hAnsi="Garamond" w:cstheme="majorBidi"/>
          <w:sz w:val="24"/>
          <w:szCs w:val="24"/>
          <w:lang w:val="id-ID"/>
        </w:rPr>
        <w:t xml:space="preserve">. Namun, dalam perkembangannya, hermeneutika telah mengalami transformasi menjadi suatu kerangka filsafat yang memiliki pendekatan dan corak pemikiran tersendiri, berbeda dari metode tafsir tradisional yang dikenal dalam khazanah </w:t>
      </w:r>
      <w:r w:rsidRPr="00060A7D">
        <w:rPr>
          <w:rFonts w:ascii="Garamond" w:hAnsi="Garamond" w:cstheme="majorBidi"/>
          <w:i/>
          <w:iCs/>
          <w:sz w:val="24"/>
          <w:szCs w:val="24"/>
          <w:lang w:val="id-ID"/>
        </w:rPr>
        <w:t>turats</w:t>
      </w:r>
      <w:r w:rsidRPr="00060A7D">
        <w:rPr>
          <w:rFonts w:ascii="Garamond" w:hAnsi="Garamond" w:cstheme="majorBidi"/>
          <w:sz w:val="24"/>
          <w:szCs w:val="24"/>
          <w:lang w:val="id-ID"/>
        </w:rPr>
        <w:t xml:space="preserve"> Islam klasik. Perbedaan ini menjadi sumber perdebatan, khususnya di kalangan kaum tradisionalis dan fundamentalis Muslim, yang memandang bahwa penerapan hermeneutika dalam menafsirkan Al-Qur’an perlu dikaji ulang secara kritis</w:t>
      </w:r>
      <w:r w:rsidR="009523DA" w:rsidRPr="00060A7D">
        <w:rPr>
          <w:rFonts w:ascii="Garamond" w:hAnsi="Garamond" w:cstheme="majorBidi"/>
          <w:sz w:val="24"/>
          <w:szCs w:val="24"/>
          <w:lang w:val="id-ID"/>
        </w:rPr>
        <w:t xml:space="preserve"> </w:t>
      </w:r>
      <w:r w:rsidR="00F01772" w:rsidRPr="00060A7D">
        <w:rPr>
          <w:rFonts w:ascii="Garamond" w:hAnsi="Garamond" w:cstheme="majorBidi"/>
          <w:sz w:val="24"/>
          <w:szCs w:val="24"/>
          <w:lang w:val="id-ID"/>
        </w:rPr>
        <w:fldChar w:fldCharType="begin" w:fldLock="1"/>
      </w:r>
      <w:r w:rsidR="00F01772" w:rsidRPr="00060A7D">
        <w:rPr>
          <w:rFonts w:ascii="Garamond" w:hAnsi="Garamond" w:cstheme="majorBidi"/>
          <w:sz w:val="24"/>
          <w:szCs w:val="24"/>
          <w:lang w:val="id-ID"/>
        </w:rPr>
        <w:instrText>ADDIN CSL_CITATION {"citationItems":[{"id":"ITEM-1","itemData":{"abstract":"… reasoning and argumentative kalam viewpoints and dynamic … Makalah ini meninjau kerangka pemikiran sosiologis Fazlur … penting dalam menimbulkan aliran neo-modernis Islam yang …","author":[{"dropping-particle":"","family":"Amir","given":"Ahmad Nabil","non-dropping-particle":"","parse-names":false,"suffix":""}],"container-title":"Juornal of Multidisciplinary Islamic Studies","id":"ITEM-1","issue":"1","issued":{"date-parts":[["2022"]]},"page":"15-19","title":"Interpreting the Qur'an: Fazlur Rahman's Social Exegesis","type":"article-journal","volume":"2"},"uris":["http://www.mendeley.com/documents/?uuid=44532d7e-e0cf-4931-9d41-ac21fe684f8d"]}],"mendeley":{"formattedCitation":"(Amir, 2022)","plainTextFormattedCitation":"(Amir, 2022)","previouslyFormattedCitation":"(Amir, 2022)"},"properties":{"noteIndex":0},"schema":"https://github.com/citation-style-language/schema/raw/master/csl-citation.json"}</w:instrText>
      </w:r>
      <w:r w:rsidR="00F01772" w:rsidRPr="00060A7D">
        <w:rPr>
          <w:rFonts w:ascii="Garamond" w:hAnsi="Garamond" w:cstheme="majorBidi"/>
          <w:sz w:val="24"/>
          <w:szCs w:val="24"/>
          <w:lang w:val="id-ID"/>
        </w:rPr>
        <w:fldChar w:fldCharType="separate"/>
      </w:r>
      <w:r w:rsidR="00F01772" w:rsidRPr="00060A7D">
        <w:rPr>
          <w:rFonts w:ascii="Garamond" w:hAnsi="Garamond" w:cstheme="majorBidi"/>
          <w:noProof/>
          <w:sz w:val="24"/>
          <w:szCs w:val="24"/>
          <w:lang w:val="id-ID"/>
        </w:rPr>
        <w:t>(Amir, 2022)</w:t>
      </w:r>
      <w:r w:rsidR="00F01772" w:rsidRPr="00060A7D">
        <w:rPr>
          <w:rFonts w:ascii="Garamond" w:hAnsi="Garamond" w:cstheme="majorBidi"/>
          <w:sz w:val="24"/>
          <w:szCs w:val="24"/>
          <w:lang w:val="id-ID"/>
        </w:rPr>
        <w:fldChar w:fldCharType="end"/>
      </w:r>
      <w:r w:rsidRPr="00060A7D">
        <w:rPr>
          <w:rFonts w:ascii="Garamond" w:hAnsi="Garamond" w:cstheme="majorBidi"/>
          <w:sz w:val="24"/>
          <w:szCs w:val="24"/>
          <w:lang w:val="id-ID"/>
        </w:rPr>
        <w:t>. Mereka menilai bahwa pendekatan tersebut bisa berisiko menggeser otoritas penafsiran klasik yang telah mapan, dan menuntut kehati-hatian dalam penggunaannya agar tidak bertentangan dengan prinsip-prinsip dasar ajaran Islam.</w:t>
      </w:r>
    </w:p>
    <w:p w14:paraId="6BE2EDB1" w14:textId="77777777" w:rsidR="00BD3F63" w:rsidRPr="00060A7D" w:rsidRDefault="006F1621" w:rsidP="00060A7D">
      <w:pPr>
        <w:widowControl w:val="0"/>
        <w:pBdr>
          <w:top w:val="nil"/>
          <w:left w:val="nil"/>
          <w:bottom w:val="nil"/>
          <w:right w:val="nil"/>
          <w:between w:val="nil"/>
        </w:pBdr>
        <w:spacing w:after="0" w:line="360" w:lineRule="auto"/>
        <w:jc w:val="both"/>
        <w:rPr>
          <w:rFonts w:ascii="Garamond" w:eastAsia="Garamond" w:hAnsi="Garamond" w:cs="Garamond"/>
          <w:b/>
          <w:color w:val="000000"/>
          <w:sz w:val="24"/>
          <w:szCs w:val="24"/>
        </w:rPr>
      </w:pPr>
      <w:r w:rsidRPr="00060A7D">
        <w:rPr>
          <w:rFonts w:ascii="Garamond" w:eastAsia="Garamond" w:hAnsi="Garamond" w:cs="Garamond"/>
          <w:b/>
          <w:sz w:val="24"/>
          <w:szCs w:val="24"/>
        </w:rPr>
        <w:t>Kesimpulan</w:t>
      </w:r>
    </w:p>
    <w:p w14:paraId="5052C337" w14:textId="77777777" w:rsidR="00F113E2" w:rsidRPr="00060A7D" w:rsidRDefault="00F113E2" w:rsidP="00060A7D">
      <w:pPr>
        <w:spacing w:after="0" w:line="360" w:lineRule="auto"/>
        <w:ind w:firstLine="851"/>
        <w:jc w:val="both"/>
        <w:rPr>
          <w:rFonts w:ascii="Garamond" w:hAnsi="Garamond" w:cstheme="majorBidi"/>
          <w:sz w:val="24"/>
          <w:szCs w:val="24"/>
        </w:rPr>
      </w:pPr>
      <w:r w:rsidRPr="00060A7D">
        <w:rPr>
          <w:rFonts w:ascii="Garamond" w:hAnsi="Garamond" w:cstheme="majorBidi"/>
          <w:sz w:val="24"/>
          <w:szCs w:val="24"/>
        </w:rPr>
        <w:t xml:space="preserve">Rahman memusatkan perhatiannya pada pengembangan metodologi Islam baru, percaya bahwa tradisi intelektual yang ada saat itu (tradisional) tidak mampu menjangkau pemikiran Muslim ke dalam kerangka zaman modern. Baginya, memahami metode penafsiran Al-Qur'an adalah prasyarat penting untuk reformasi pemikiran Islam. Rahman menegaskan pentingnya konteks dalam menafsirkan Al-Qur'an, menentang pendekatan dekontekstualisasi yang mengisolasi ayat-ayat tanpa memberikan pandangan yang kohesif terhadap kehidupan. Dia memandang pembentukan sebuah etika yang berakar pada Al-Qur'an sebagai suatu kebutuhan, karena tidak adanya sistem etika yang eksplisit akan menghalangi pelaksanaan hukum Islam yang adil. </w:t>
      </w:r>
    </w:p>
    <w:p w14:paraId="326463BB" w14:textId="343D923F" w:rsidR="00F113E2" w:rsidRPr="00060A7D" w:rsidRDefault="00F113E2" w:rsidP="00060A7D">
      <w:pPr>
        <w:spacing w:after="0" w:line="360" w:lineRule="auto"/>
        <w:ind w:firstLine="851"/>
        <w:jc w:val="both"/>
        <w:rPr>
          <w:rFonts w:ascii="Garamond" w:hAnsi="Garamond" w:cstheme="majorBidi"/>
          <w:sz w:val="24"/>
          <w:szCs w:val="24"/>
        </w:rPr>
      </w:pPr>
      <w:r w:rsidRPr="00060A7D">
        <w:rPr>
          <w:rFonts w:ascii="Garamond" w:hAnsi="Garamond" w:cstheme="majorBidi"/>
          <w:sz w:val="24"/>
          <w:szCs w:val="24"/>
        </w:rPr>
        <w:t>Metodologi Rahman untuk menafsirkan aspek etik-hukum dalam Al-Qur'an menekankan penggunaan k</w:t>
      </w:r>
      <w:r w:rsidR="00854B21" w:rsidRPr="00060A7D">
        <w:rPr>
          <w:rFonts w:ascii="Garamond" w:hAnsi="Garamond" w:cstheme="majorBidi"/>
          <w:sz w:val="24"/>
          <w:szCs w:val="24"/>
        </w:rPr>
        <w:t xml:space="preserve">onteks sosiohistoris, cita-cita </w:t>
      </w:r>
      <w:r w:rsidRPr="00060A7D">
        <w:rPr>
          <w:rFonts w:ascii="Garamond" w:hAnsi="Garamond" w:cstheme="majorBidi"/>
          <w:sz w:val="24"/>
          <w:szCs w:val="24"/>
        </w:rPr>
        <w:t>kontingen, keadilan sosial, prinsip moral, penggunaan hadis secara hati-hati, dan hubungan antara masa lalu dan masa kini. Baginya, sistem hukum yang didasarkan pada teori sosio-moral diperlukan untuk menghadapi tantangan zaman modern, dengan perbedaan penafsiran yang diharapkan akan lebih terkontrol melalui metodologi sistematis yang diusulkannya.</w:t>
      </w:r>
    </w:p>
    <w:p w14:paraId="380B3B85" w14:textId="77777777" w:rsidR="00BD3F63" w:rsidRPr="00060A7D" w:rsidRDefault="006F1621" w:rsidP="00060A7D">
      <w:pPr>
        <w:spacing w:after="0" w:line="360" w:lineRule="auto"/>
        <w:jc w:val="both"/>
        <w:rPr>
          <w:rFonts w:ascii="Garamond" w:eastAsia="Garamond" w:hAnsi="Garamond" w:cs="Garamond"/>
          <w:b/>
          <w:sz w:val="24"/>
          <w:szCs w:val="24"/>
        </w:rPr>
      </w:pPr>
      <w:r w:rsidRPr="00060A7D">
        <w:rPr>
          <w:rFonts w:ascii="Garamond" w:eastAsia="Garamond" w:hAnsi="Garamond" w:cs="Garamond"/>
          <w:b/>
          <w:sz w:val="24"/>
          <w:szCs w:val="24"/>
        </w:rPr>
        <w:t>Daftar Pustaka</w:t>
      </w:r>
    </w:p>
    <w:p w14:paraId="5D33F645" w14:textId="3A38798F" w:rsidR="00072D0B" w:rsidRPr="00060A7D" w:rsidRDefault="00EC1D80" w:rsidP="00060A7D">
      <w:pPr>
        <w:widowControl w:val="0"/>
        <w:autoSpaceDE w:val="0"/>
        <w:autoSpaceDN w:val="0"/>
        <w:adjustRightInd w:val="0"/>
        <w:spacing w:after="0" w:line="360" w:lineRule="auto"/>
        <w:ind w:left="851" w:hanging="851"/>
        <w:jc w:val="both"/>
        <w:rPr>
          <w:rFonts w:ascii="Garamond" w:hAnsi="Garamond" w:cs="Times New Roman"/>
          <w:noProof/>
          <w:sz w:val="24"/>
          <w:szCs w:val="24"/>
        </w:rPr>
      </w:pPr>
      <w:r w:rsidRPr="00060A7D">
        <w:rPr>
          <w:rFonts w:ascii="Garamond" w:eastAsia="Garamond" w:hAnsi="Garamond" w:cs="Garamond"/>
          <w:sz w:val="24"/>
          <w:szCs w:val="24"/>
        </w:rPr>
        <w:fldChar w:fldCharType="begin" w:fldLock="1"/>
      </w:r>
      <w:r w:rsidRPr="00060A7D">
        <w:rPr>
          <w:rFonts w:ascii="Garamond" w:eastAsia="Garamond" w:hAnsi="Garamond" w:cs="Garamond"/>
          <w:sz w:val="24"/>
          <w:szCs w:val="24"/>
        </w:rPr>
        <w:instrText xml:space="preserve">ADDIN Mendeley Bibliography CSL_BIBLIOGRAPHY </w:instrText>
      </w:r>
      <w:r w:rsidRPr="00060A7D">
        <w:rPr>
          <w:rFonts w:ascii="Garamond" w:eastAsia="Garamond" w:hAnsi="Garamond" w:cs="Garamond"/>
          <w:sz w:val="24"/>
          <w:szCs w:val="24"/>
        </w:rPr>
        <w:fldChar w:fldCharType="separate"/>
      </w:r>
      <w:r w:rsidR="00072D0B" w:rsidRPr="00060A7D">
        <w:rPr>
          <w:rFonts w:ascii="Garamond" w:hAnsi="Garamond" w:cs="Times New Roman"/>
          <w:noProof/>
          <w:sz w:val="24"/>
          <w:szCs w:val="24"/>
        </w:rPr>
        <w:t xml:space="preserve">Abdul Majid, L., &amp; Nayan, S. (2021). Ratio-Legal Fazlur Rahman’s Hermeneutics and Its Influence on Sisters-In-Islam. </w:t>
      </w:r>
      <w:r w:rsidR="00072D0B" w:rsidRPr="00060A7D">
        <w:rPr>
          <w:rFonts w:ascii="Garamond" w:hAnsi="Garamond" w:cs="Times New Roman"/>
          <w:i/>
          <w:iCs/>
          <w:noProof/>
          <w:sz w:val="24"/>
          <w:szCs w:val="24"/>
        </w:rPr>
        <w:t>Jurnal Living Hadis</w:t>
      </w:r>
      <w:r w:rsidR="00072D0B" w:rsidRPr="00060A7D">
        <w:rPr>
          <w:rFonts w:ascii="Garamond" w:hAnsi="Garamond" w:cs="Times New Roman"/>
          <w:noProof/>
          <w:sz w:val="24"/>
          <w:szCs w:val="24"/>
        </w:rPr>
        <w:t xml:space="preserve">, </w:t>
      </w:r>
      <w:r w:rsidR="00072D0B" w:rsidRPr="00060A7D">
        <w:rPr>
          <w:rFonts w:ascii="Garamond" w:hAnsi="Garamond" w:cs="Times New Roman"/>
          <w:i/>
          <w:iCs/>
          <w:noProof/>
          <w:sz w:val="24"/>
          <w:szCs w:val="24"/>
        </w:rPr>
        <w:t>6</w:t>
      </w:r>
      <w:r w:rsidR="00072D0B" w:rsidRPr="00060A7D">
        <w:rPr>
          <w:rFonts w:ascii="Garamond" w:hAnsi="Garamond" w:cs="Times New Roman"/>
          <w:noProof/>
          <w:sz w:val="24"/>
          <w:szCs w:val="24"/>
        </w:rPr>
        <w:t xml:space="preserve">(1), 105–120. </w:t>
      </w:r>
    </w:p>
    <w:p w14:paraId="2D7B9EB7" w14:textId="77777777" w:rsidR="00072D0B" w:rsidRPr="00060A7D" w:rsidRDefault="00072D0B" w:rsidP="00060A7D">
      <w:pPr>
        <w:widowControl w:val="0"/>
        <w:autoSpaceDE w:val="0"/>
        <w:autoSpaceDN w:val="0"/>
        <w:adjustRightInd w:val="0"/>
        <w:spacing w:after="0" w:line="360" w:lineRule="auto"/>
        <w:ind w:left="851" w:hanging="851"/>
        <w:jc w:val="both"/>
        <w:rPr>
          <w:rFonts w:ascii="Garamond" w:hAnsi="Garamond" w:cs="Times New Roman"/>
          <w:noProof/>
          <w:sz w:val="24"/>
          <w:szCs w:val="24"/>
        </w:rPr>
      </w:pPr>
      <w:r w:rsidRPr="00060A7D">
        <w:rPr>
          <w:rFonts w:ascii="Garamond" w:hAnsi="Garamond" w:cs="Times New Roman"/>
          <w:noProof/>
          <w:sz w:val="24"/>
          <w:szCs w:val="24"/>
        </w:rPr>
        <w:t xml:space="preserve">Agustono, I., &amp; Zain, N. S. S. (2023). Fazlur Rahman’s Perspective On The Concept Of An Islamic State In The Qur’an. </w:t>
      </w:r>
      <w:r w:rsidRPr="00060A7D">
        <w:rPr>
          <w:rFonts w:ascii="Garamond" w:hAnsi="Garamond" w:cs="Times New Roman"/>
          <w:i/>
          <w:iCs/>
          <w:noProof/>
          <w:sz w:val="24"/>
          <w:szCs w:val="24"/>
        </w:rPr>
        <w:t>Al Hikmah: Jurnal Studi Keislaman</w:t>
      </w:r>
      <w:r w:rsidRPr="00060A7D">
        <w:rPr>
          <w:rFonts w:ascii="Garamond" w:hAnsi="Garamond" w:cs="Times New Roman"/>
          <w:noProof/>
          <w:sz w:val="24"/>
          <w:szCs w:val="24"/>
        </w:rPr>
        <w:t xml:space="preserve">, </w:t>
      </w:r>
      <w:r w:rsidRPr="00060A7D">
        <w:rPr>
          <w:rFonts w:ascii="Garamond" w:hAnsi="Garamond" w:cs="Times New Roman"/>
          <w:i/>
          <w:iCs/>
          <w:noProof/>
          <w:sz w:val="24"/>
          <w:szCs w:val="24"/>
        </w:rPr>
        <w:t>13</w:t>
      </w:r>
      <w:r w:rsidRPr="00060A7D">
        <w:rPr>
          <w:rFonts w:ascii="Garamond" w:hAnsi="Garamond" w:cs="Times New Roman"/>
          <w:noProof/>
          <w:sz w:val="24"/>
          <w:szCs w:val="24"/>
        </w:rPr>
        <w:t>(2), 63–78.</w:t>
      </w:r>
    </w:p>
    <w:p w14:paraId="7A84B0A9" w14:textId="239C2E67" w:rsidR="00072D0B" w:rsidRPr="00060A7D" w:rsidRDefault="00072D0B" w:rsidP="00060A7D">
      <w:pPr>
        <w:widowControl w:val="0"/>
        <w:autoSpaceDE w:val="0"/>
        <w:autoSpaceDN w:val="0"/>
        <w:adjustRightInd w:val="0"/>
        <w:spacing w:after="0" w:line="360" w:lineRule="auto"/>
        <w:ind w:left="851" w:hanging="851"/>
        <w:jc w:val="both"/>
        <w:rPr>
          <w:rFonts w:ascii="Garamond" w:hAnsi="Garamond" w:cs="Times New Roman"/>
          <w:noProof/>
          <w:sz w:val="24"/>
          <w:szCs w:val="24"/>
        </w:rPr>
      </w:pPr>
      <w:r w:rsidRPr="00060A7D">
        <w:rPr>
          <w:rFonts w:ascii="Garamond" w:hAnsi="Garamond" w:cs="Times New Roman"/>
          <w:noProof/>
          <w:sz w:val="24"/>
          <w:szCs w:val="24"/>
        </w:rPr>
        <w:lastRenderedPageBreak/>
        <w:t xml:space="preserve">Akbar, A. (2020). Fazlur Rahman’s Influence on Contemporary Islamic Thought. </w:t>
      </w:r>
      <w:r w:rsidRPr="00060A7D">
        <w:rPr>
          <w:rFonts w:ascii="Garamond" w:hAnsi="Garamond" w:cs="Times New Roman"/>
          <w:i/>
          <w:iCs/>
          <w:noProof/>
          <w:sz w:val="24"/>
          <w:szCs w:val="24"/>
        </w:rPr>
        <w:t>Muslim World</w:t>
      </w:r>
      <w:r w:rsidRPr="00060A7D">
        <w:rPr>
          <w:rFonts w:ascii="Garamond" w:hAnsi="Garamond" w:cs="Times New Roman"/>
          <w:noProof/>
          <w:sz w:val="24"/>
          <w:szCs w:val="24"/>
        </w:rPr>
        <w:t xml:space="preserve">, </w:t>
      </w:r>
      <w:r w:rsidRPr="00060A7D">
        <w:rPr>
          <w:rFonts w:ascii="Garamond" w:hAnsi="Garamond" w:cs="Times New Roman"/>
          <w:i/>
          <w:iCs/>
          <w:noProof/>
          <w:sz w:val="24"/>
          <w:szCs w:val="24"/>
        </w:rPr>
        <w:t>110</w:t>
      </w:r>
      <w:r w:rsidRPr="00060A7D">
        <w:rPr>
          <w:rFonts w:ascii="Garamond" w:hAnsi="Garamond" w:cs="Times New Roman"/>
          <w:noProof/>
          <w:sz w:val="24"/>
          <w:szCs w:val="24"/>
        </w:rPr>
        <w:t xml:space="preserve">(2), 129–153. </w:t>
      </w:r>
    </w:p>
    <w:p w14:paraId="4F7A4FF6" w14:textId="77777777" w:rsidR="00072D0B" w:rsidRPr="00060A7D" w:rsidRDefault="00072D0B" w:rsidP="00060A7D">
      <w:pPr>
        <w:widowControl w:val="0"/>
        <w:autoSpaceDE w:val="0"/>
        <w:autoSpaceDN w:val="0"/>
        <w:adjustRightInd w:val="0"/>
        <w:spacing w:after="0" w:line="360" w:lineRule="auto"/>
        <w:ind w:left="851" w:hanging="851"/>
        <w:jc w:val="both"/>
        <w:rPr>
          <w:rFonts w:ascii="Garamond" w:hAnsi="Garamond" w:cs="Times New Roman"/>
          <w:noProof/>
          <w:sz w:val="24"/>
          <w:szCs w:val="24"/>
        </w:rPr>
      </w:pPr>
      <w:r w:rsidRPr="00060A7D">
        <w:rPr>
          <w:rFonts w:ascii="Garamond" w:hAnsi="Garamond" w:cs="Times New Roman"/>
          <w:noProof/>
          <w:sz w:val="24"/>
          <w:szCs w:val="24"/>
        </w:rPr>
        <w:t xml:space="preserve">Amir, A. N. (2022). Interpreting the Qur’an: Fazlur Rahman’s Social Exegesis. </w:t>
      </w:r>
      <w:r w:rsidRPr="00060A7D">
        <w:rPr>
          <w:rFonts w:ascii="Garamond" w:hAnsi="Garamond" w:cs="Times New Roman"/>
          <w:i/>
          <w:iCs/>
          <w:noProof/>
          <w:sz w:val="24"/>
          <w:szCs w:val="24"/>
        </w:rPr>
        <w:t>Juornal of Multidisciplinary Islamic Studies</w:t>
      </w:r>
      <w:r w:rsidRPr="00060A7D">
        <w:rPr>
          <w:rFonts w:ascii="Garamond" w:hAnsi="Garamond" w:cs="Times New Roman"/>
          <w:noProof/>
          <w:sz w:val="24"/>
          <w:szCs w:val="24"/>
        </w:rPr>
        <w:t xml:space="preserve">, </w:t>
      </w:r>
      <w:r w:rsidRPr="00060A7D">
        <w:rPr>
          <w:rFonts w:ascii="Garamond" w:hAnsi="Garamond" w:cs="Times New Roman"/>
          <w:i/>
          <w:iCs/>
          <w:noProof/>
          <w:sz w:val="24"/>
          <w:szCs w:val="24"/>
        </w:rPr>
        <w:t>2</w:t>
      </w:r>
      <w:r w:rsidRPr="00060A7D">
        <w:rPr>
          <w:rFonts w:ascii="Garamond" w:hAnsi="Garamond" w:cs="Times New Roman"/>
          <w:noProof/>
          <w:sz w:val="24"/>
          <w:szCs w:val="24"/>
        </w:rPr>
        <w:t>(1), 15–19.</w:t>
      </w:r>
    </w:p>
    <w:p w14:paraId="225A60EB" w14:textId="39ACFBE3" w:rsidR="00072D0B" w:rsidRPr="00060A7D" w:rsidRDefault="00072D0B" w:rsidP="00060A7D">
      <w:pPr>
        <w:widowControl w:val="0"/>
        <w:autoSpaceDE w:val="0"/>
        <w:autoSpaceDN w:val="0"/>
        <w:adjustRightInd w:val="0"/>
        <w:spacing w:after="0" w:line="360" w:lineRule="auto"/>
        <w:ind w:left="851" w:hanging="851"/>
        <w:jc w:val="both"/>
        <w:rPr>
          <w:rFonts w:ascii="Garamond" w:hAnsi="Garamond" w:cs="Times New Roman"/>
          <w:noProof/>
          <w:sz w:val="24"/>
          <w:szCs w:val="24"/>
        </w:rPr>
      </w:pPr>
      <w:r w:rsidRPr="00060A7D">
        <w:rPr>
          <w:rFonts w:ascii="Garamond" w:hAnsi="Garamond" w:cs="Times New Roman"/>
          <w:noProof/>
          <w:sz w:val="24"/>
          <w:szCs w:val="24"/>
        </w:rPr>
        <w:t xml:space="preserve">Ash-Shiddiqy, M., &amp; Fitriyati, I. D. (2022). Analysis of Ethico Legal Texts and Abdullah Saeed’s Hierarchy of Values in Dealing with Ethico Legal Texts. </w:t>
      </w:r>
      <w:r w:rsidRPr="00060A7D">
        <w:rPr>
          <w:rFonts w:ascii="Garamond" w:hAnsi="Garamond" w:cs="Times New Roman"/>
          <w:i/>
          <w:iCs/>
          <w:noProof/>
          <w:sz w:val="24"/>
          <w:szCs w:val="24"/>
        </w:rPr>
        <w:t>International Proceedings of Nusantara Raya</w:t>
      </w:r>
      <w:r w:rsidRPr="00060A7D">
        <w:rPr>
          <w:rFonts w:ascii="Garamond" w:hAnsi="Garamond" w:cs="Times New Roman"/>
          <w:noProof/>
          <w:sz w:val="24"/>
          <w:szCs w:val="24"/>
        </w:rPr>
        <w:t xml:space="preserve">, </w:t>
      </w:r>
      <w:r w:rsidRPr="00060A7D">
        <w:rPr>
          <w:rFonts w:ascii="Garamond" w:hAnsi="Garamond" w:cs="Times New Roman"/>
          <w:i/>
          <w:iCs/>
          <w:noProof/>
          <w:sz w:val="24"/>
          <w:szCs w:val="24"/>
        </w:rPr>
        <w:t>1</w:t>
      </w:r>
      <w:r w:rsidRPr="00060A7D">
        <w:rPr>
          <w:rFonts w:ascii="Garamond" w:hAnsi="Garamond" w:cs="Times New Roman"/>
          <w:noProof/>
          <w:sz w:val="24"/>
          <w:szCs w:val="24"/>
        </w:rPr>
        <w:t xml:space="preserve">(1), 25–29. </w:t>
      </w:r>
    </w:p>
    <w:p w14:paraId="0044D4F7" w14:textId="77777777" w:rsidR="00072D0B" w:rsidRPr="00060A7D" w:rsidRDefault="00072D0B" w:rsidP="00060A7D">
      <w:pPr>
        <w:widowControl w:val="0"/>
        <w:autoSpaceDE w:val="0"/>
        <w:autoSpaceDN w:val="0"/>
        <w:adjustRightInd w:val="0"/>
        <w:spacing w:after="0" w:line="360" w:lineRule="auto"/>
        <w:ind w:left="851" w:hanging="851"/>
        <w:jc w:val="both"/>
        <w:rPr>
          <w:rFonts w:ascii="Garamond" w:hAnsi="Garamond" w:cs="Times New Roman"/>
          <w:noProof/>
          <w:sz w:val="24"/>
          <w:szCs w:val="24"/>
        </w:rPr>
      </w:pPr>
      <w:r w:rsidRPr="00060A7D">
        <w:rPr>
          <w:rFonts w:ascii="Garamond" w:hAnsi="Garamond" w:cs="Times New Roman"/>
          <w:noProof/>
          <w:sz w:val="24"/>
          <w:szCs w:val="24"/>
        </w:rPr>
        <w:t xml:space="preserve">Azhari, N., Kisworo, B., &amp; Yusefri, Y. (2023). Penerapan Teori Double Movement Fazlur Rahman Terhadap Pembagian Waris Islam Dalam Konteks Kekinian. </w:t>
      </w:r>
      <w:r w:rsidRPr="00060A7D">
        <w:rPr>
          <w:rFonts w:ascii="Garamond" w:hAnsi="Garamond" w:cs="Times New Roman"/>
          <w:i/>
          <w:iCs/>
          <w:noProof/>
          <w:sz w:val="24"/>
          <w:szCs w:val="24"/>
        </w:rPr>
        <w:t>Al-Furqan</w:t>
      </w:r>
      <w:r w:rsidRPr="00060A7D">
        <w:rPr>
          <w:rFonts w:ascii="Times New Roman" w:hAnsi="Times New Roman" w:cs="Times New Roman"/>
          <w:i/>
          <w:iCs/>
          <w:noProof/>
          <w:sz w:val="24"/>
          <w:szCs w:val="24"/>
        </w:rPr>
        <w:t> </w:t>
      </w:r>
      <w:r w:rsidRPr="00060A7D">
        <w:rPr>
          <w:rFonts w:ascii="Garamond" w:hAnsi="Garamond" w:cs="Times New Roman"/>
          <w:i/>
          <w:iCs/>
          <w:noProof/>
          <w:sz w:val="24"/>
          <w:szCs w:val="24"/>
        </w:rPr>
        <w:t>: Jurnal Agama, Sosial, dan Budaya</w:t>
      </w:r>
      <w:r w:rsidRPr="00060A7D">
        <w:rPr>
          <w:rFonts w:ascii="Garamond" w:hAnsi="Garamond" w:cs="Times New Roman"/>
          <w:noProof/>
          <w:sz w:val="24"/>
          <w:szCs w:val="24"/>
        </w:rPr>
        <w:t xml:space="preserve">, </w:t>
      </w:r>
      <w:r w:rsidRPr="00060A7D">
        <w:rPr>
          <w:rFonts w:ascii="Garamond" w:hAnsi="Garamond" w:cs="Times New Roman"/>
          <w:i/>
          <w:iCs/>
          <w:noProof/>
          <w:sz w:val="24"/>
          <w:szCs w:val="24"/>
        </w:rPr>
        <w:t>2</w:t>
      </w:r>
      <w:r w:rsidRPr="00060A7D">
        <w:rPr>
          <w:rFonts w:ascii="Garamond" w:hAnsi="Garamond" w:cs="Times New Roman"/>
          <w:noProof/>
          <w:sz w:val="24"/>
          <w:szCs w:val="24"/>
        </w:rPr>
        <w:t>(5), 1–14. https://www.ncbi.nlm.nih.gov/books/NBK558907/</w:t>
      </w:r>
    </w:p>
    <w:p w14:paraId="6BAAC70B" w14:textId="77777777" w:rsidR="00072D0B" w:rsidRPr="00060A7D" w:rsidRDefault="00072D0B" w:rsidP="00060A7D">
      <w:pPr>
        <w:widowControl w:val="0"/>
        <w:autoSpaceDE w:val="0"/>
        <w:autoSpaceDN w:val="0"/>
        <w:adjustRightInd w:val="0"/>
        <w:spacing w:after="0" w:line="360" w:lineRule="auto"/>
        <w:ind w:left="851" w:hanging="851"/>
        <w:jc w:val="both"/>
        <w:rPr>
          <w:rFonts w:ascii="Garamond" w:hAnsi="Garamond" w:cs="Times New Roman"/>
          <w:noProof/>
          <w:sz w:val="24"/>
          <w:szCs w:val="24"/>
        </w:rPr>
      </w:pPr>
      <w:r w:rsidRPr="00060A7D">
        <w:rPr>
          <w:rFonts w:ascii="Garamond" w:hAnsi="Garamond" w:cs="Times New Roman"/>
          <w:noProof/>
          <w:sz w:val="24"/>
          <w:szCs w:val="24"/>
        </w:rPr>
        <w:t xml:space="preserve">Dr. Vladimir, V. F. (1967). Biografi Intelektual Abdullah Saeed a. </w:t>
      </w:r>
      <w:r w:rsidRPr="00060A7D">
        <w:rPr>
          <w:rFonts w:ascii="Garamond" w:hAnsi="Garamond" w:cs="Times New Roman"/>
          <w:i/>
          <w:iCs/>
          <w:noProof/>
          <w:sz w:val="24"/>
          <w:szCs w:val="24"/>
        </w:rPr>
        <w:t>Gastronomía ecuatoriana y turismo local.</w:t>
      </w:r>
      <w:r w:rsidRPr="00060A7D">
        <w:rPr>
          <w:rFonts w:ascii="Garamond" w:hAnsi="Garamond" w:cs="Times New Roman"/>
          <w:noProof/>
          <w:sz w:val="24"/>
          <w:szCs w:val="24"/>
        </w:rPr>
        <w:t xml:space="preserve">, </w:t>
      </w:r>
      <w:r w:rsidRPr="00060A7D">
        <w:rPr>
          <w:rFonts w:ascii="Garamond" w:hAnsi="Garamond" w:cs="Times New Roman"/>
          <w:i/>
          <w:iCs/>
          <w:noProof/>
          <w:sz w:val="24"/>
          <w:szCs w:val="24"/>
        </w:rPr>
        <w:t>1</w:t>
      </w:r>
      <w:r w:rsidRPr="00060A7D">
        <w:rPr>
          <w:rFonts w:ascii="Garamond" w:hAnsi="Garamond" w:cs="Times New Roman"/>
          <w:noProof/>
          <w:sz w:val="24"/>
          <w:szCs w:val="24"/>
        </w:rPr>
        <w:t>(69), 5–24.</w:t>
      </w:r>
    </w:p>
    <w:p w14:paraId="11A2DD7F" w14:textId="3C47FE78" w:rsidR="00072D0B" w:rsidRPr="00060A7D" w:rsidRDefault="00072D0B" w:rsidP="00060A7D">
      <w:pPr>
        <w:widowControl w:val="0"/>
        <w:autoSpaceDE w:val="0"/>
        <w:autoSpaceDN w:val="0"/>
        <w:adjustRightInd w:val="0"/>
        <w:spacing w:after="0" w:line="360" w:lineRule="auto"/>
        <w:ind w:left="851" w:hanging="851"/>
        <w:jc w:val="both"/>
        <w:rPr>
          <w:rFonts w:ascii="Garamond" w:hAnsi="Garamond" w:cs="Times New Roman"/>
          <w:noProof/>
          <w:sz w:val="24"/>
          <w:szCs w:val="24"/>
        </w:rPr>
      </w:pPr>
      <w:r w:rsidRPr="00060A7D">
        <w:rPr>
          <w:rFonts w:ascii="Garamond" w:hAnsi="Garamond" w:cs="Times New Roman"/>
          <w:noProof/>
          <w:sz w:val="24"/>
          <w:szCs w:val="24"/>
        </w:rPr>
        <w:t xml:space="preserve">Fanani, M. A., Fawaid, A., &amp; Abdurrohman, M. I. (2024). Fazlur Rahman’s Approach to the Major Themes of the Qur’an and Western Interpretation of the Qur’an. </w:t>
      </w:r>
      <w:r w:rsidRPr="00060A7D">
        <w:rPr>
          <w:rFonts w:ascii="Garamond" w:hAnsi="Garamond" w:cs="Times New Roman"/>
          <w:i/>
          <w:iCs/>
          <w:noProof/>
          <w:sz w:val="24"/>
          <w:szCs w:val="24"/>
        </w:rPr>
        <w:t>Al-Ikhsan: Interdisciplinary Journal of Islamic Studies</w:t>
      </w:r>
      <w:r w:rsidRPr="00060A7D">
        <w:rPr>
          <w:rFonts w:ascii="Garamond" w:hAnsi="Garamond" w:cs="Times New Roman"/>
          <w:noProof/>
          <w:sz w:val="24"/>
          <w:szCs w:val="24"/>
        </w:rPr>
        <w:t xml:space="preserve">, </w:t>
      </w:r>
      <w:r w:rsidRPr="00060A7D">
        <w:rPr>
          <w:rFonts w:ascii="Garamond" w:hAnsi="Garamond" w:cs="Times New Roman"/>
          <w:i/>
          <w:iCs/>
          <w:noProof/>
          <w:sz w:val="24"/>
          <w:szCs w:val="24"/>
        </w:rPr>
        <w:t>2</w:t>
      </w:r>
      <w:r w:rsidRPr="00060A7D">
        <w:rPr>
          <w:rFonts w:ascii="Garamond" w:hAnsi="Garamond" w:cs="Times New Roman"/>
          <w:noProof/>
          <w:sz w:val="24"/>
          <w:szCs w:val="24"/>
        </w:rPr>
        <w:t xml:space="preserve">(1), 20–32. </w:t>
      </w:r>
    </w:p>
    <w:p w14:paraId="30181399" w14:textId="77777777" w:rsidR="00072D0B" w:rsidRPr="00060A7D" w:rsidRDefault="00072D0B" w:rsidP="00060A7D">
      <w:pPr>
        <w:widowControl w:val="0"/>
        <w:autoSpaceDE w:val="0"/>
        <w:autoSpaceDN w:val="0"/>
        <w:adjustRightInd w:val="0"/>
        <w:spacing w:after="0" w:line="360" w:lineRule="auto"/>
        <w:ind w:left="851" w:hanging="851"/>
        <w:jc w:val="both"/>
        <w:rPr>
          <w:rFonts w:ascii="Garamond" w:hAnsi="Garamond" w:cs="Times New Roman"/>
          <w:noProof/>
          <w:sz w:val="24"/>
          <w:szCs w:val="24"/>
        </w:rPr>
      </w:pPr>
      <w:r w:rsidRPr="00060A7D">
        <w:rPr>
          <w:rFonts w:ascii="Garamond" w:hAnsi="Garamond" w:cs="Times New Roman"/>
          <w:noProof/>
          <w:sz w:val="24"/>
          <w:szCs w:val="24"/>
        </w:rPr>
        <w:t xml:space="preserve">Faraz, M. S., &amp; Asiya, S. (2020). Impact of the Contextual approach on the Qur’anic Interpretations. In </w:t>
      </w:r>
      <w:r w:rsidRPr="00060A7D">
        <w:rPr>
          <w:rFonts w:ascii="Garamond" w:hAnsi="Garamond" w:cs="Times New Roman"/>
          <w:i/>
          <w:iCs/>
          <w:noProof/>
          <w:sz w:val="24"/>
          <w:szCs w:val="24"/>
        </w:rPr>
        <w:t>Jihat ul Islam</w:t>
      </w:r>
      <w:r w:rsidRPr="00060A7D">
        <w:rPr>
          <w:rFonts w:ascii="Garamond" w:hAnsi="Garamond" w:cs="Times New Roman"/>
          <w:noProof/>
          <w:sz w:val="24"/>
          <w:szCs w:val="24"/>
        </w:rPr>
        <w:t xml:space="preserve"> (Vol. 14, Nomor 1, hal. 1–20). https://jihat-ul-islam.com.pk/journal/index.php/jihat-ul-islam/article/view/167</w:t>
      </w:r>
    </w:p>
    <w:p w14:paraId="26B4B2D8" w14:textId="77777777" w:rsidR="00072D0B" w:rsidRPr="00060A7D" w:rsidRDefault="00072D0B" w:rsidP="00060A7D">
      <w:pPr>
        <w:widowControl w:val="0"/>
        <w:autoSpaceDE w:val="0"/>
        <w:autoSpaceDN w:val="0"/>
        <w:adjustRightInd w:val="0"/>
        <w:spacing w:after="0" w:line="360" w:lineRule="auto"/>
        <w:ind w:left="851" w:hanging="851"/>
        <w:jc w:val="both"/>
        <w:rPr>
          <w:rFonts w:ascii="Garamond" w:hAnsi="Garamond" w:cs="Times New Roman"/>
          <w:noProof/>
          <w:sz w:val="24"/>
          <w:szCs w:val="24"/>
        </w:rPr>
      </w:pPr>
      <w:r w:rsidRPr="00060A7D">
        <w:rPr>
          <w:rFonts w:ascii="Garamond" w:hAnsi="Garamond" w:cs="Times New Roman"/>
          <w:noProof/>
          <w:sz w:val="24"/>
          <w:szCs w:val="24"/>
        </w:rPr>
        <w:t xml:space="preserve">Fazrul, R. (1984). Islam and Modernity. Transformation of an Intellectual Tradition. In </w:t>
      </w:r>
      <w:r w:rsidRPr="00060A7D">
        <w:rPr>
          <w:rFonts w:ascii="Garamond" w:hAnsi="Garamond" w:cs="Times New Roman"/>
          <w:i/>
          <w:iCs/>
          <w:noProof/>
          <w:sz w:val="24"/>
          <w:szCs w:val="24"/>
        </w:rPr>
        <w:t>Archives de Sciences Sociales des Religions</w:t>
      </w:r>
      <w:r w:rsidRPr="00060A7D">
        <w:rPr>
          <w:rFonts w:ascii="Garamond" w:hAnsi="Garamond" w:cs="Times New Roman"/>
          <w:noProof/>
          <w:sz w:val="24"/>
          <w:szCs w:val="24"/>
        </w:rPr>
        <w:t xml:space="preserve"> (Vol. 58, Nomor 2). University of Chicago Press. https://books.google.com/books?hl=en&amp;lr=&amp;id=3_stDwAAQBAJ&amp;oi=fnd&amp;pg=PR7&amp;dq=islamic+work+life+balance&amp;ots=sUAx4qGUAf&amp;sig=wbj3o1YLLigIDAtqZRLRsR8m0xo</w:t>
      </w:r>
    </w:p>
    <w:p w14:paraId="7D3DCF46" w14:textId="77777777" w:rsidR="00072D0B" w:rsidRPr="00060A7D" w:rsidRDefault="00072D0B" w:rsidP="00060A7D">
      <w:pPr>
        <w:widowControl w:val="0"/>
        <w:autoSpaceDE w:val="0"/>
        <w:autoSpaceDN w:val="0"/>
        <w:adjustRightInd w:val="0"/>
        <w:spacing w:after="0" w:line="360" w:lineRule="auto"/>
        <w:ind w:left="851" w:hanging="851"/>
        <w:jc w:val="both"/>
        <w:rPr>
          <w:rFonts w:ascii="Garamond" w:hAnsi="Garamond" w:cs="Times New Roman"/>
          <w:noProof/>
          <w:sz w:val="24"/>
          <w:szCs w:val="24"/>
        </w:rPr>
      </w:pPr>
      <w:r w:rsidRPr="00060A7D">
        <w:rPr>
          <w:rFonts w:ascii="Garamond" w:hAnsi="Garamond" w:cs="Times New Roman"/>
          <w:noProof/>
          <w:sz w:val="24"/>
          <w:szCs w:val="24"/>
        </w:rPr>
        <w:t xml:space="preserve">Galadari, A. (2020). </w:t>
      </w:r>
      <w:r w:rsidRPr="00060A7D">
        <w:rPr>
          <w:rFonts w:ascii="Garamond" w:hAnsi="Garamond" w:cs="Times New Roman"/>
          <w:i/>
          <w:iCs/>
          <w:noProof/>
          <w:sz w:val="24"/>
          <w:szCs w:val="24"/>
        </w:rPr>
        <w:t>Qur’anic Hermeneutics: Between Science, History, and the Bible</w:t>
      </w:r>
      <w:r w:rsidRPr="00060A7D">
        <w:rPr>
          <w:rFonts w:ascii="Garamond" w:hAnsi="Garamond" w:cs="Times New Roman"/>
          <w:noProof/>
          <w:sz w:val="24"/>
          <w:szCs w:val="24"/>
        </w:rPr>
        <w:t>. Bloomsbury Academic. https://books.google.co.id/books?id=j_9aEAAAQBAJ</w:t>
      </w:r>
    </w:p>
    <w:p w14:paraId="4745A338" w14:textId="30FA149E" w:rsidR="00072D0B" w:rsidRPr="00060A7D" w:rsidRDefault="00072D0B" w:rsidP="00060A7D">
      <w:pPr>
        <w:widowControl w:val="0"/>
        <w:autoSpaceDE w:val="0"/>
        <w:autoSpaceDN w:val="0"/>
        <w:adjustRightInd w:val="0"/>
        <w:spacing w:after="0" w:line="360" w:lineRule="auto"/>
        <w:ind w:left="851" w:hanging="851"/>
        <w:jc w:val="both"/>
        <w:rPr>
          <w:rFonts w:ascii="Garamond" w:hAnsi="Garamond" w:cs="Times New Roman"/>
          <w:noProof/>
          <w:sz w:val="24"/>
          <w:szCs w:val="24"/>
        </w:rPr>
      </w:pPr>
      <w:r w:rsidRPr="00060A7D">
        <w:rPr>
          <w:rFonts w:ascii="Garamond" w:hAnsi="Garamond" w:cs="Times New Roman"/>
          <w:noProof/>
          <w:sz w:val="24"/>
          <w:szCs w:val="24"/>
        </w:rPr>
        <w:t xml:space="preserve">Hashas, M., &amp; al-Khatib, M. (2020). </w:t>
      </w:r>
      <w:r w:rsidRPr="00060A7D">
        <w:rPr>
          <w:rFonts w:ascii="Garamond" w:hAnsi="Garamond" w:cs="Times New Roman"/>
          <w:i/>
          <w:iCs/>
          <w:noProof/>
          <w:sz w:val="24"/>
          <w:szCs w:val="24"/>
        </w:rPr>
        <w:t xml:space="preserve">Islamic Ethics and the Trusteeship Paradigm: Taha Abderrahmane’s Philosophy in Comparative Perspectives: </w:t>
      </w:r>
      <w:r w:rsidRPr="00060A7D">
        <w:rPr>
          <w:rFonts w:ascii="Garamond" w:hAnsi="Garamond" w:cs="Times New Roman"/>
          <w:i/>
          <w:iCs/>
          <w:noProof/>
          <w:sz w:val="24"/>
          <w:szCs w:val="24"/>
          <w:rtl/>
        </w:rPr>
        <w:t>الأخلاق الإسلامية ونسق الائتمانية: مقاربات في فلسفة طه عبد الرحمن</w:t>
      </w:r>
      <w:r w:rsidRPr="00060A7D">
        <w:rPr>
          <w:rFonts w:ascii="Garamond" w:hAnsi="Garamond" w:cs="Times New Roman"/>
          <w:noProof/>
          <w:sz w:val="24"/>
          <w:szCs w:val="24"/>
        </w:rPr>
        <w:t xml:space="preserve">. Brill. </w:t>
      </w:r>
    </w:p>
    <w:p w14:paraId="55937FAC" w14:textId="04F5AEC5" w:rsidR="00072D0B" w:rsidRPr="00060A7D" w:rsidRDefault="00072D0B" w:rsidP="00060A7D">
      <w:pPr>
        <w:widowControl w:val="0"/>
        <w:autoSpaceDE w:val="0"/>
        <w:autoSpaceDN w:val="0"/>
        <w:adjustRightInd w:val="0"/>
        <w:spacing w:after="0" w:line="360" w:lineRule="auto"/>
        <w:ind w:left="851" w:hanging="851"/>
        <w:jc w:val="both"/>
        <w:rPr>
          <w:rFonts w:ascii="Garamond" w:hAnsi="Garamond" w:cs="Times New Roman"/>
          <w:noProof/>
          <w:sz w:val="24"/>
          <w:szCs w:val="24"/>
        </w:rPr>
      </w:pPr>
      <w:r w:rsidRPr="00060A7D">
        <w:rPr>
          <w:rFonts w:ascii="Garamond" w:hAnsi="Garamond" w:cs="Times New Roman"/>
          <w:noProof/>
          <w:sz w:val="24"/>
          <w:szCs w:val="24"/>
        </w:rPr>
        <w:t xml:space="preserve">Hendri, J. (2024). Contemporary Interpretation Methodology: Comparative Study of the Thought of Fazlur Rahman and Sahiron Syamsuddin. </w:t>
      </w:r>
      <w:r w:rsidRPr="00060A7D">
        <w:rPr>
          <w:rFonts w:ascii="Garamond" w:hAnsi="Garamond" w:cs="Times New Roman"/>
          <w:i/>
          <w:iCs/>
          <w:noProof/>
          <w:sz w:val="24"/>
          <w:szCs w:val="24"/>
        </w:rPr>
        <w:t>Al Quds: Jurnal Studi Alquran dan Hadis</w:t>
      </w:r>
      <w:r w:rsidRPr="00060A7D">
        <w:rPr>
          <w:rFonts w:ascii="Garamond" w:hAnsi="Garamond" w:cs="Times New Roman"/>
          <w:noProof/>
          <w:sz w:val="24"/>
          <w:szCs w:val="24"/>
        </w:rPr>
        <w:t xml:space="preserve">, </w:t>
      </w:r>
      <w:r w:rsidRPr="00060A7D">
        <w:rPr>
          <w:rFonts w:ascii="Garamond" w:hAnsi="Garamond" w:cs="Times New Roman"/>
          <w:i/>
          <w:iCs/>
          <w:noProof/>
          <w:sz w:val="24"/>
          <w:szCs w:val="24"/>
        </w:rPr>
        <w:t>8</w:t>
      </w:r>
      <w:r w:rsidRPr="00060A7D">
        <w:rPr>
          <w:rFonts w:ascii="Garamond" w:hAnsi="Garamond" w:cs="Times New Roman"/>
          <w:noProof/>
          <w:sz w:val="24"/>
          <w:szCs w:val="24"/>
        </w:rPr>
        <w:t xml:space="preserve">(3), 533–540. </w:t>
      </w:r>
    </w:p>
    <w:p w14:paraId="1695CBA5" w14:textId="77777777" w:rsidR="00072D0B" w:rsidRPr="00060A7D" w:rsidRDefault="00072D0B" w:rsidP="00060A7D">
      <w:pPr>
        <w:widowControl w:val="0"/>
        <w:autoSpaceDE w:val="0"/>
        <w:autoSpaceDN w:val="0"/>
        <w:adjustRightInd w:val="0"/>
        <w:spacing w:after="0" w:line="360" w:lineRule="auto"/>
        <w:ind w:left="851" w:hanging="851"/>
        <w:jc w:val="both"/>
        <w:rPr>
          <w:rFonts w:ascii="Garamond" w:hAnsi="Garamond" w:cs="Times New Roman"/>
          <w:noProof/>
          <w:sz w:val="24"/>
          <w:szCs w:val="24"/>
        </w:rPr>
      </w:pPr>
      <w:r w:rsidRPr="00060A7D">
        <w:rPr>
          <w:rFonts w:ascii="Garamond" w:hAnsi="Garamond" w:cs="Times New Roman"/>
          <w:noProof/>
          <w:sz w:val="24"/>
          <w:szCs w:val="24"/>
        </w:rPr>
        <w:lastRenderedPageBreak/>
        <w:t xml:space="preserve">Isnaini Fauziatun Nisya. (2019). Fazlur Rahman sebagai Tokoh Pembaharu Islam 1919–1988 M. </w:t>
      </w:r>
      <w:r w:rsidRPr="00060A7D">
        <w:rPr>
          <w:rFonts w:ascii="Garamond" w:hAnsi="Garamond" w:cs="Times New Roman"/>
          <w:i/>
          <w:iCs/>
          <w:noProof/>
          <w:sz w:val="24"/>
          <w:szCs w:val="24"/>
        </w:rPr>
        <w:t>Qurthuba: The Journal of History and Islamic Civilization</w:t>
      </w:r>
      <w:r w:rsidRPr="00060A7D">
        <w:rPr>
          <w:rFonts w:ascii="Garamond" w:hAnsi="Garamond" w:cs="Times New Roman"/>
          <w:noProof/>
          <w:sz w:val="24"/>
          <w:szCs w:val="24"/>
        </w:rPr>
        <w:t xml:space="preserve">, </w:t>
      </w:r>
      <w:r w:rsidRPr="00060A7D">
        <w:rPr>
          <w:rFonts w:ascii="Garamond" w:hAnsi="Garamond" w:cs="Times New Roman"/>
          <w:i/>
          <w:iCs/>
          <w:noProof/>
          <w:sz w:val="24"/>
          <w:szCs w:val="24"/>
        </w:rPr>
        <w:t>3</w:t>
      </w:r>
      <w:r w:rsidRPr="00060A7D">
        <w:rPr>
          <w:rFonts w:ascii="Garamond" w:hAnsi="Garamond" w:cs="Times New Roman"/>
          <w:noProof/>
          <w:sz w:val="24"/>
          <w:szCs w:val="24"/>
        </w:rPr>
        <w:t>(1), 1–20.</w:t>
      </w:r>
    </w:p>
    <w:p w14:paraId="0BB22A79" w14:textId="603E65F9" w:rsidR="00072D0B" w:rsidRPr="00060A7D" w:rsidRDefault="00072D0B" w:rsidP="00060A7D">
      <w:pPr>
        <w:widowControl w:val="0"/>
        <w:autoSpaceDE w:val="0"/>
        <w:autoSpaceDN w:val="0"/>
        <w:adjustRightInd w:val="0"/>
        <w:spacing w:after="0" w:line="360" w:lineRule="auto"/>
        <w:ind w:left="851" w:hanging="851"/>
        <w:jc w:val="both"/>
        <w:rPr>
          <w:rFonts w:ascii="Garamond" w:hAnsi="Garamond" w:cs="Times New Roman"/>
          <w:noProof/>
          <w:sz w:val="24"/>
          <w:szCs w:val="24"/>
        </w:rPr>
      </w:pPr>
      <w:r w:rsidRPr="00060A7D">
        <w:rPr>
          <w:rFonts w:ascii="Garamond" w:hAnsi="Garamond" w:cs="Times New Roman"/>
          <w:noProof/>
          <w:sz w:val="24"/>
          <w:szCs w:val="24"/>
        </w:rPr>
        <w:t xml:space="preserve">Kholifatin, L. I. (2025). Metode Pendekatan Tafsir Kontekstual Prespektif Fazlur Rahman. </w:t>
      </w:r>
      <w:r w:rsidRPr="00060A7D">
        <w:rPr>
          <w:rFonts w:ascii="Garamond" w:hAnsi="Garamond" w:cs="Times New Roman"/>
          <w:i/>
          <w:iCs/>
          <w:noProof/>
          <w:sz w:val="24"/>
          <w:szCs w:val="24"/>
        </w:rPr>
        <w:t>Journal of Islamic Education</w:t>
      </w:r>
      <w:r w:rsidRPr="00060A7D">
        <w:rPr>
          <w:rFonts w:ascii="Garamond" w:hAnsi="Garamond" w:cs="Times New Roman"/>
          <w:noProof/>
          <w:sz w:val="24"/>
          <w:szCs w:val="24"/>
        </w:rPr>
        <w:t xml:space="preserve">, </w:t>
      </w:r>
      <w:r w:rsidRPr="00060A7D">
        <w:rPr>
          <w:rFonts w:ascii="Garamond" w:hAnsi="Garamond" w:cs="Times New Roman"/>
          <w:i/>
          <w:iCs/>
          <w:noProof/>
          <w:sz w:val="24"/>
          <w:szCs w:val="24"/>
        </w:rPr>
        <w:t>3</w:t>
      </w:r>
      <w:r w:rsidRPr="00060A7D">
        <w:rPr>
          <w:rFonts w:ascii="Garamond" w:hAnsi="Garamond" w:cs="Times New Roman"/>
          <w:noProof/>
          <w:sz w:val="24"/>
          <w:szCs w:val="24"/>
        </w:rPr>
        <w:t xml:space="preserve">(1), 1–12. </w:t>
      </w:r>
    </w:p>
    <w:p w14:paraId="4D1419E8" w14:textId="77777777" w:rsidR="00072D0B" w:rsidRPr="00060A7D" w:rsidRDefault="00072D0B" w:rsidP="00060A7D">
      <w:pPr>
        <w:widowControl w:val="0"/>
        <w:autoSpaceDE w:val="0"/>
        <w:autoSpaceDN w:val="0"/>
        <w:adjustRightInd w:val="0"/>
        <w:spacing w:after="0" w:line="360" w:lineRule="auto"/>
        <w:ind w:left="851" w:hanging="851"/>
        <w:jc w:val="both"/>
        <w:rPr>
          <w:rFonts w:ascii="Garamond" w:hAnsi="Garamond" w:cs="Times New Roman"/>
          <w:noProof/>
          <w:sz w:val="24"/>
          <w:szCs w:val="24"/>
        </w:rPr>
      </w:pPr>
      <w:r w:rsidRPr="00060A7D">
        <w:rPr>
          <w:rFonts w:ascii="Garamond" w:hAnsi="Garamond" w:cs="Times New Roman"/>
          <w:noProof/>
          <w:sz w:val="24"/>
          <w:szCs w:val="24"/>
        </w:rPr>
        <w:t xml:space="preserve">Khotimah, I. H., &amp; Laisa, E. (2024). Modernisasi Pendidikan Islam Dalam Pemikiran Fazlur Rahman. </w:t>
      </w:r>
      <w:r w:rsidRPr="00060A7D">
        <w:rPr>
          <w:rFonts w:ascii="Garamond" w:hAnsi="Garamond" w:cs="Times New Roman"/>
          <w:i/>
          <w:iCs/>
          <w:noProof/>
          <w:sz w:val="24"/>
          <w:szCs w:val="24"/>
        </w:rPr>
        <w:t>Cognitive: Jurnal Pendidikan dan Pembelajaran</w:t>
      </w:r>
      <w:r w:rsidRPr="00060A7D">
        <w:rPr>
          <w:rFonts w:ascii="Garamond" w:hAnsi="Garamond" w:cs="Times New Roman"/>
          <w:noProof/>
          <w:sz w:val="24"/>
          <w:szCs w:val="24"/>
        </w:rPr>
        <w:t xml:space="preserve">, </w:t>
      </w:r>
      <w:r w:rsidRPr="00060A7D">
        <w:rPr>
          <w:rFonts w:ascii="Garamond" w:hAnsi="Garamond" w:cs="Times New Roman"/>
          <w:i/>
          <w:iCs/>
          <w:noProof/>
          <w:sz w:val="24"/>
          <w:szCs w:val="24"/>
        </w:rPr>
        <w:t>2</w:t>
      </w:r>
      <w:r w:rsidRPr="00060A7D">
        <w:rPr>
          <w:rFonts w:ascii="Garamond" w:hAnsi="Garamond" w:cs="Times New Roman"/>
          <w:noProof/>
          <w:sz w:val="24"/>
          <w:szCs w:val="24"/>
        </w:rPr>
        <w:t>(1), 84–102. http://ejournal.arshmedia.org/index.php/cognitive</w:t>
      </w:r>
    </w:p>
    <w:p w14:paraId="1732AABB" w14:textId="54DAFA51" w:rsidR="00072D0B" w:rsidRPr="00060A7D" w:rsidRDefault="00072D0B" w:rsidP="00060A7D">
      <w:pPr>
        <w:widowControl w:val="0"/>
        <w:autoSpaceDE w:val="0"/>
        <w:autoSpaceDN w:val="0"/>
        <w:adjustRightInd w:val="0"/>
        <w:spacing w:after="0" w:line="360" w:lineRule="auto"/>
        <w:ind w:left="851" w:hanging="851"/>
        <w:jc w:val="both"/>
        <w:rPr>
          <w:rFonts w:ascii="Garamond" w:hAnsi="Garamond" w:cs="Times New Roman"/>
          <w:noProof/>
          <w:sz w:val="24"/>
          <w:szCs w:val="24"/>
        </w:rPr>
      </w:pPr>
      <w:r w:rsidRPr="00060A7D">
        <w:rPr>
          <w:rFonts w:ascii="Garamond" w:hAnsi="Garamond" w:cs="Times New Roman"/>
          <w:noProof/>
          <w:sz w:val="24"/>
          <w:szCs w:val="24"/>
        </w:rPr>
        <w:t xml:space="preserve">Lestari, L. (2017). Refleksi Abdullah Saeed Tentang Pendekatan Kontekstual Terhadap Ayat-Ayat Ethico-Legal Dalam Alquran. </w:t>
      </w:r>
      <w:r w:rsidRPr="00060A7D">
        <w:rPr>
          <w:rFonts w:ascii="Garamond" w:hAnsi="Garamond" w:cs="Times New Roman"/>
          <w:i/>
          <w:iCs/>
          <w:noProof/>
          <w:sz w:val="24"/>
          <w:szCs w:val="24"/>
        </w:rPr>
        <w:t>Jurnal At-Tibyan: Jurnal Ilmu Alquran dan Tafsir</w:t>
      </w:r>
      <w:r w:rsidRPr="00060A7D">
        <w:rPr>
          <w:rFonts w:ascii="Garamond" w:hAnsi="Garamond" w:cs="Times New Roman"/>
          <w:noProof/>
          <w:sz w:val="24"/>
          <w:szCs w:val="24"/>
        </w:rPr>
        <w:t xml:space="preserve">, </w:t>
      </w:r>
      <w:r w:rsidRPr="00060A7D">
        <w:rPr>
          <w:rFonts w:ascii="Garamond" w:hAnsi="Garamond" w:cs="Times New Roman"/>
          <w:i/>
          <w:iCs/>
          <w:noProof/>
          <w:sz w:val="24"/>
          <w:szCs w:val="24"/>
        </w:rPr>
        <w:t>2</w:t>
      </w:r>
      <w:r w:rsidRPr="00060A7D">
        <w:rPr>
          <w:rFonts w:ascii="Garamond" w:hAnsi="Garamond" w:cs="Times New Roman"/>
          <w:noProof/>
          <w:sz w:val="24"/>
          <w:szCs w:val="24"/>
        </w:rPr>
        <w:t xml:space="preserve">(1), 15. </w:t>
      </w:r>
    </w:p>
    <w:p w14:paraId="0DCC8C6C" w14:textId="77777777" w:rsidR="00072D0B" w:rsidRPr="00060A7D" w:rsidRDefault="00072D0B" w:rsidP="00060A7D">
      <w:pPr>
        <w:widowControl w:val="0"/>
        <w:autoSpaceDE w:val="0"/>
        <w:autoSpaceDN w:val="0"/>
        <w:adjustRightInd w:val="0"/>
        <w:spacing w:after="0" w:line="360" w:lineRule="auto"/>
        <w:ind w:left="851" w:hanging="851"/>
        <w:jc w:val="both"/>
        <w:rPr>
          <w:rFonts w:ascii="Garamond" w:hAnsi="Garamond" w:cs="Times New Roman"/>
          <w:noProof/>
          <w:sz w:val="24"/>
          <w:szCs w:val="24"/>
        </w:rPr>
      </w:pPr>
      <w:r w:rsidRPr="00060A7D">
        <w:rPr>
          <w:rFonts w:ascii="Garamond" w:hAnsi="Garamond" w:cs="Times New Roman"/>
          <w:noProof/>
          <w:sz w:val="24"/>
          <w:szCs w:val="24"/>
        </w:rPr>
        <w:t xml:space="preserve">Lestari, P. (2024). Hermeneutika Fazlur Rahman Dan Contoh Penerapannya Dalam Tafsir Al-Qur’an. </w:t>
      </w:r>
      <w:r w:rsidRPr="00060A7D">
        <w:rPr>
          <w:rFonts w:ascii="Garamond" w:hAnsi="Garamond" w:cs="Times New Roman"/>
          <w:i/>
          <w:iCs/>
          <w:noProof/>
          <w:sz w:val="24"/>
          <w:szCs w:val="24"/>
        </w:rPr>
        <w:t>Maqamat: Jurnal Ushuluddin dan Tasawuf</w:t>
      </w:r>
      <w:r w:rsidRPr="00060A7D">
        <w:rPr>
          <w:rFonts w:ascii="Garamond" w:hAnsi="Garamond" w:cs="Times New Roman"/>
          <w:noProof/>
          <w:sz w:val="24"/>
          <w:szCs w:val="24"/>
        </w:rPr>
        <w:t xml:space="preserve">, </w:t>
      </w:r>
      <w:r w:rsidRPr="00060A7D">
        <w:rPr>
          <w:rFonts w:ascii="Garamond" w:hAnsi="Garamond" w:cs="Times New Roman"/>
          <w:i/>
          <w:iCs/>
          <w:noProof/>
          <w:sz w:val="24"/>
          <w:szCs w:val="24"/>
        </w:rPr>
        <w:t>2</w:t>
      </w:r>
      <w:r w:rsidRPr="00060A7D">
        <w:rPr>
          <w:rFonts w:ascii="Garamond" w:hAnsi="Garamond" w:cs="Times New Roman"/>
          <w:noProof/>
          <w:sz w:val="24"/>
          <w:szCs w:val="24"/>
        </w:rPr>
        <w:t>(2), 94–102.</w:t>
      </w:r>
    </w:p>
    <w:p w14:paraId="7B33BF75" w14:textId="6FC1CEBD" w:rsidR="00072D0B" w:rsidRPr="00060A7D" w:rsidRDefault="00072D0B" w:rsidP="00060A7D">
      <w:pPr>
        <w:widowControl w:val="0"/>
        <w:autoSpaceDE w:val="0"/>
        <w:autoSpaceDN w:val="0"/>
        <w:adjustRightInd w:val="0"/>
        <w:spacing w:after="0" w:line="360" w:lineRule="auto"/>
        <w:ind w:left="851" w:hanging="851"/>
        <w:jc w:val="both"/>
        <w:rPr>
          <w:rFonts w:ascii="Garamond" w:hAnsi="Garamond" w:cs="Times New Roman"/>
          <w:noProof/>
          <w:sz w:val="24"/>
          <w:szCs w:val="24"/>
        </w:rPr>
      </w:pPr>
      <w:r w:rsidRPr="00060A7D">
        <w:rPr>
          <w:rFonts w:ascii="Garamond" w:hAnsi="Garamond" w:cs="Times New Roman"/>
          <w:noProof/>
          <w:sz w:val="24"/>
          <w:szCs w:val="24"/>
        </w:rPr>
        <w:t xml:space="preserve">Maghribi, H., &amp; Hidayah, A. (2023). Contesting the Exegetical Approaches of Muhammad Abduh and Fazlur Rahman to the Qur’ān. In </w:t>
      </w:r>
      <w:r w:rsidRPr="00060A7D">
        <w:rPr>
          <w:rFonts w:ascii="Garamond" w:hAnsi="Garamond" w:cs="Times New Roman"/>
          <w:i/>
          <w:iCs/>
          <w:noProof/>
          <w:sz w:val="24"/>
          <w:szCs w:val="24"/>
        </w:rPr>
        <w:t>Religia</w:t>
      </w:r>
      <w:r w:rsidRPr="00060A7D">
        <w:rPr>
          <w:rFonts w:ascii="Garamond" w:hAnsi="Garamond" w:cs="Times New Roman"/>
          <w:noProof/>
          <w:sz w:val="24"/>
          <w:szCs w:val="24"/>
        </w:rPr>
        <w:t xml:space="preserve"> (Vol. 26, Nomor 1, hal. 40–57). </w:t>
      </w:r>
    </w:p>
    <w:p w14:paraId="0B44DC80" w14:textId="77777777" w:rsidR="00072D0B" w:rsidRPr="00060A7D" w:rsidRDefault="00072D0B" w:rsidP="00060A7D">
      <w:pPr>
        <w:widowControl w:val="0"/>
        <w:autoSpaceDE w:val="0"/>
        <w:autoSpaceDN w:val="0"/>
        <w:adjustRightInd w:val="0"/>
        <w:spacing w:after="0" w:line="360" w:lineRule="auto"/>
        <w:ind w:left="851" w:hanging="851"/>
        <w:jc w:val="both"/>
        <w:rPr>
          <w:rFonts w:ascii="Garamond" w:hAnsi="Garamond" w:cs="Times New Roman"/>
          <w:noProof/>
          <w:sz w:val="24"/>
          <w:szCs w:val="24"/>
        </w:rPr>
      </w:pPr>
      <w:r w:rsidRPr="00060A7D">
        <w:rPr>
          <w:rFonts w:ascii="Garamond" w:hAnsi="Garamond" w:cs="Times New Roman"/>
          <w:noProof/>
          <w:sz w:val="24"/>
          <w:szCs w:val="24"/>
        </w:rPr>
        <w:t xml:space="preserve">Maraimbang. (2018). Etika Al-Qur’an Menurut Fazlur Rahman: Konsepsi Iman. </w:t>
      </w:r>
      <w:r w:rsidRPr="00060A7D">
        <w:rPr>
          <w:rFonts w:ascii="Garamond" w:hAnsi="Garamond" w:cs="Times New Roman"/>
          <w:i/>
          <w:iCs/>
          <w:noProof/>
          <w:sz w:val="24"/>
          <w:szCs w:val="24"/>
        </w:rPr>
        <w:t>Ibn Abbas: Jurnal Ilmu Al-Qur’an dan Tafsir</w:t>
      </w:r>
      <w:r w:rsidRPr="00060A7D">
        <w:rPr>
          <w:rFonts w:ascii="Garamond" w:hAnsi="Garamond" w:cs="Times New Roman"/>
          <w:noProof/>
          <w:sz w:val="24"/>
          <w:szCs w:val="24"/>
        </w:rPr>
        <w:t xml:space="preserve">, </w:t>
      </w:r>
      <w:r w:rsidRPr="00060A7D">
        <w:rPr>
          <w:rFonts w:ascii="Garamond" w:hAnsi="Garamond" w:cs="Times New Roman"/>
          <w:i/>
          <w:iCs/>
          <w:noProof/>
          <w:sz w:val="24"/>
          <w:szCs w:val="24"/>
        </w:rPr>
        <w:t>1</w:t>
      </w:r>
      <w:r w:rsidRPr="00060A7D">
        <w:rPr>
          <w:rFonts w:ascii="Garamond" w:hAnsi="Garamond" w:cs="Times New Roman"/>
          <w:noProof/>
          <w:sz w:val="24"/>
          <w:szCs w:val="24"/>
        </w:rPr>
        <w:t>(2), 148–167.</w:t>
      </w:r>
    </w:p>
    <w:p w14:paraId="6BCBCAAD" w14:textId="79251647" w:rsidR="00072D0B" w:rsidRPr="00060A7D" w:rsidRDefault="00072D0B" w:rsidP="00060A7D">
      <w:pPr>
        <w:widowControl w:val="0"/>
        <w:autoSpaceDE w:val="0"/>
        <w:autoSpaceDN w:val="0"/>
        <w:adjustRightInd w:val="0"/>
        <w:spacing w:after="0" w:line="360" w:lineRule="auto"/>
        <w:ind w:left="851" w:hanging="851"/>
        <w:jc w:val="both"/>
        <w:rPr>
          <w:rFonts w:ascii="Garamond" w:hAnsi="Garamond" w:cs="Times New Roman"/>
          <w:noProof/>
          <w:sz w:val="24"/>
          <w:szCs w:val="24"/>
        </w:rPr>
      </w:pPr>
      <w:r w:rsidRPr="00060A7D">
        <w:rPr>
          <w:rFonts w:ascii="Garamond" w:hAnsi="Garamond" w:cs="Times New Roman"/>
          <w:noProof/>
          <w:sz w:val="24"/>
          <w:szCs w:val="24"/>
        </w:rPr>
        <w:t xml:space="preserve">Mastura, N., Dewi, E., &amp; Agustina, A. M. (2024). Metode Double Movement sebagai Inovasi Fazlur Rahman dalam Pembaharuan Pendidikan Islam. </w:t>
      </w:r>
      <w:r w:rsidRPr="00060A7D">
        <w:rPr>
          <w:rFonts w:ascii="Garamond" w:hAnsi="Garamond" w:cs="Times New Roman"/>
          <w:i/>
          <w:iCs/>
          <w:noProof/>
          <w:sz w:val="24"/>
          <w:szCs w:val="24"/>
        </w:rPr>
        <w:t>Journal of Education Research</w:t>
      </w:r>
      <w:r w:rsidRPr="00060A7D">
        <w:rPr>
          <w:rFonts w:ascii="Garamond" w:hAnsi="Garamond" w:cs="Times New Roman"/>
          <w:noProof/>
          <w:sz w:val="24"/>
          <w:szCs w:val="24"/>
        </w:rPr>
        <w:t xml:space="preserve">, </w:t>
      </w:r>
      <w:r w:rsidRPr="00060A7D">
        <w:rPr>
          <w:rFonts w:ascii="Garamond" w:hAnsi="Garamond" w:cs="Times New Roman"/>
          <w:i/>
          <w:iCs/>
          <w:noProof/>
          <w:sz w:val="24"/>
          <w:szCs w:val="24"/>
        </w:rPr>
        <w:t>5</w:t>
      </w:r>
      <w:r w:rsidRPr="00060A7D">
        <w:rPr>
          <w:rFonts w:ascii="Garamond" w:hAnsi="Garamond" w:cs="Times New Roman"/>
          <w:noProof/>
          <w:sz w:val="24"/>
          <w:szCs w:val="24"/>
        </w:rPr>
        <w:t xml:space="preserve">(3), 4011–4019. </w:t>
      </w:r>
    </w:p>
    <w:p w14:paraId="042B4730" w14:textId="77777777" w:rsidR="00072D0B" w:rsidRPr="00060A7D" w:rsidRDefault="00072D0B" w:rsidP="00060A7D">
      <w:pPr>
        <w:widowControl w:val="0"/>
        <w:autoSpaceDE w:val="0"/>
        <w:autoSpaceDN w:val="0"/>
        <w:adjustRightInd w:val="0"/>
        <w:spacing w:after="0" w:line="360" w:lineRule="auto"/>
        <w:ind w:left="851" w:hanging="851"/>
        <w:jc w:val="both"/>
        <w:rPr>
          <w:rFonts w:ascii="Garamond" w:hAnsi="Garamond" w:cs="Times New Roman"/>
          <w:noProof/>
          <w:sz w:val="24"/>
          <w:szCs w:val="24"/>
        </w:rPr>
      </w:pPr>
      <w:r w:rsidRPr="00060A7D">
        <w:rPr>
          <w:rFonts w:ascii="Garamond" w:hAnsi="Garamond" w:cs="Times New Roman"/>
          <w:noProof/>
          <w:sz w:val="24"/>
          <w:szCs w:val="24"/>
        </w:rPr>
        <w:t xml:space="preserve">Nizhamuddin, M. (2025). Eksplorasi Kritis Hermeneutika Fazlur Rahman dalam Interpretasi Ayat Riba. </w:t>
      </w:r>
      <w:r w:rsidRPr="00060A7D">
        <w:rPr>
          <w:rFonts w:ascii="Garamond" w:hAnsi="Garamond" w:cs="Times New Roman"/>
          <w:i/>
          <w:iCs/>
          <w:noProof/>
          <w:sz w:val="24"/>
          <w:szCs w:val="24"/>
        </w:rPr>
        <w:t>JISNAS: Journal of Islamic Scriptures in Non-Arabic Societies</w:t>
      </w:r>
      <w:r w:rsidRPr="00060A7D">
        <w:rPr>
          <w:rFonts w:ascii="Garamond" w:hAnsi="Garamond" w:cs="Times New Roman"/>
          <w:noProof/>
          <w:sz w:val="24"/>
          <w:szCs w:val="24"/>
        </w:rPr>
        <w:t xml:space="preserve">, </w:t>
      </w:r>
      <w:r w:rsidRPr="00060A7D">
        <w:rPr>
          <w:rFonts w:ascii="Garamond" w:hAnsi="Garamond" w:cs="Times New Roman"/>
          <w:i/>
          <w:iCs/>
          <w:noProof/>
          <w:sz w:val="24"/>
          <w:szCs w:val="24"/>
        </w:rPr>
        <w:t>2</w:t>
      </w:r>
      <w:r w:rsidRPr="00060A7D">
        <w:rPr>
          <w:rFonts w:ascii="Garamond" w:hAnsi="Garamond" w:cs="Times New Roman"/>
          <w:noProof/>
          <w:sz w:val="24"/>
          <w:szCs w:val="24"/>
        </w:rPr>
        <w:t>(1), 17–39.</w:t>
      </w:r>
    </w:p>
    <w:p w14:paraId="0B56A521" w14:textId="1ED4981B" w:rsidR="00072D0B" w:rsidRPr="00060A7D" w:rsidRDefault="00072D0B" w:rsidP="00060A7D">
      <w:pPr>
        <w:widowControl w:val="0"/>
        <w:autoSpaceDE w:val="0"/>
        <w:autoSpaceDN w:val="0"/>
        <w:adjustRightInd w:val="0"/>
        <w:spacing w:after="0" w:line="360" w:lineRule="auto"/>
        <w:ind w:left="851" w:hanging="851"/>
        <w:jc w:val="both"/>
        <w:rPr>
          <w:rFonts w:ascii="Garamond" w:hAnsi="Garamond" w:cs="Times New Roman"/>
          <w:noProof/>
          <w:sz w:val="24"/>
          <w:szCs w:val="24"/>
        </w:rPr>
      </w:pPr>
      <w:r w:rsidRPr="00060A7D">
        <w:rPr>
          <w:rFonts w:ascii="Garamond" w:hAnsi="Garamond" w:cs="Times New Roman"/>
          <w:noProof/>
          <w:sz w:val="24"/>
          <w:szCs w:val="24"/>
        </w:rPr>
        <w:t xml:space="preserve">Nursyifa, F. P., Naqiya, H. N., Azizah, N., Muttaqin, M. R., &amp; Purwati, P. (2023). Criticism of Fazlur Rahman’s Al-Qur’an Hermeneutics. </w:t>
      </w:r>
      <w:r w:rsidRPr="00060A7D">
        <w:rPr>
          <w:rFonts w:ascii="Garamond" w:hAnsi="Garamond" w:cs="Times New Roman"/>
          <w:i/>
          <w:iCs/>
          <w:noProof/>
          <w:sz w:val="24"/>
          <w:szCs w:val="24"/>
        </w:rPr>
        <w:t>Journal of Ulumul Qur’an and Tafsir Studies</w:t>
      </w:r>
      <w:r w:rsidRPr="00060A7D">
        <w:rPr>
          <w:rFonts w:ascii="Garamond" w:hAnsi="Garamond" w:cs="Times New Roman"/>
          <w:noProof/>
          <w:sz w:val="24"/>
          <w:szCs w:val="24"/>
        </w:rPr>
        <w:t xml:space="preserve">, </w:t>
      </w:r>
      <w:r w:rsidRPr="00060A7D">
        <w:rPr>
          <w:rFonts w:ascii="Garamond" w:hAnsi="Garamond" w:cs="Times New Roman"/>
          <w:i/>
          <w:iCs/>
          <w:noProof/>
          <w:sz w:val="24"/>
          <w:szCs w:val="24"/>
        </w:rPr>
        <w:t>2</w:t>
      </w:r>
      <w:r w:rsidRPr="00060A7D">
        <w:rPr>
          <w:rFonts w:ascii="Garamond" w:hAnsi="Garamond" w:cs="Times New Roman"/>
          <w:noProof/>
          <w:sz w:val="24"/>
          <w:szCs w:val="24"/>
        </w:rPr>
        <w:t xml:space="preserve">(1), 7–18. </w:t>
      </w:r>
    </w:p>
    <w:p w14:paraId="1609884E" w14:textId="77777777" w:rsidR="00072D0B" w:rsidRPr="00060A7D" w:rsidRDefault="00072D0B" w:rsidP="00060A7D">
      <w:pPr>
        <w:widowControl w:val="0"/>
        <w:autoSpaceDE w:val="0"/>
        <w:autoSpaceDN w:val="0"/>
        <w:adjustRightInd w:val="0"/>
        <w:spacing w:after="0" w:line="360" w:lineRule="auto"/>
        <w:ind w:left="851" w:hanging="851"/>
        <w:jc w:val="both"/>
        <w:rPr>
          <w:rFonts w:ascii="Garamond" w:hAnsi="Garamond" w:cs="Times New Roman"/>
          <w:noProof/>
          <w:sz w:val="24"/>
          <w:szCs w:val="24"/>
        </w:rPr>
      </w:pPr>
      <w:r w:rsidRPr="00060A7D">
        <w:rPr>
          <w:rFonts w:ascii="Garamond" w:hAnsi="Garamond" w:cs="Times New Roman"/>
          <w:noProof/>
          <w:sz w:val="24"/>
          <w:szCs w:val="24"/>
        </w:rPr>
        <w:t xml:space="preserve">Pemikiran, D., Mutrofin, ), &amp; Tulungagung, I. (2019). Ulama Indonesia Kontemporer. </w:t>
      </w:r>
      <w:r w:rsidRPr="00060A7D">
        <w:rPr>
          <w:rFonts w:ascii="Garamond" w:hAnsi="Garamond" w:cs="Times New Roman"/>
          <w:i/>
          <w:iCs/>
          <w:noProof/>
          <w:sz w:val="24"/>
          <w:szCs w:val="24"/>
        </w:rPr>
        <w:t>Media Komunikasi Sosial Keagamaan</w:t>
      </w:r>
      <w:r w:rsidRPr="00060A7D">
        <w:rPr>
          <w:rFonts w:ascii="Garamond" w:hAnsi="Garamond" w:cs="Times New Roman"/>
          <w:noProof/>
          <w:sz w:val="24"/>
          <w:szCs w:val="24"/>
        </w:rPr>
        <w:t xml:space="preserve">, </w:t>
      </w:r>
      <w:r w:rsidRPr="00060A7D">
        <w:rPr>
          <w:rFonts w:ascii="Garamond" w:hAnsi="Garamond" w:cs="Times New Roman"/>
          <w:i/>
          <w:iCs/>
          <w:noProof/>
          <w:sz w:val="24"/>
          <w:szCs w:val="24"/>
        </w:rPr>
        <w:t>19</w:t>
      </w:r>
      <w:r w:rsidRPr="00060A7D">
        <w:rPr>
          <w:rFonts w:ascii="Garamond" w:hAnsi="Garamond" w:cs="Times New Roman"/>
          <w:noProof/>
          <w:sz w:val="24"/>
          <w:szCs w:val="24"/>
        </w:rPr>
        <w:t>, 105–124.</w:t>
      </w:r>
    </w:p>
    <w:p w14:paraId="06BEDD59" w14:textId="77777777" w:rsidR="00072D0B" w:rsidRPr="00060A7D" w:rsidRDefault="00072D0B" w:rsidP="00060A7D">
      <w:pPr>
        <w:widowControl w:val="0"/>
        <w:autoSpaceDE w:val="0"/>
        <w:autoSpaceDN w:val="0"/>
        <w:adjustRightInd w:val="0"/>
        <w:spacing w:after="0" w:line="360" w:lineRule="auto"/>
        <w:ind w:left="851" w:hanging="851"/>
        <w:jc w:val="both"/>
        <w:rPr>
          <w:rFonts w:ascii="Garamond" w:hAnsi="Garamond" w:cs="Times New Roman"/>
          <w:noProof/>
          <w:sz w:val="24"/>
          <w:szCs w:val="24"/>
        </w:rPr>
      </w:pPr>
      <w:r w:rsidRPr="00060A7D">
        <w:rPr>
          <w:rFonts w:ascii="Garamond" w:hAnsi="Garamond" w:cs="Times New Roman"/>
          <w:noProof/>
          <w:sz w:val="24"/>
          <w:szCs w:val="24"/>
        </w:rPr>
        <w:t xml:space="preserve">Putri, V. F., Solihatunnajah, S., &amp; Muna, M. (2024). Pembaharuan Pendidikan Islam: Analisis Pemikiran Fazlur Rahman. </w:t>
      </w:r>
      <w:r w:rsidRPr="00060A7D">
        <w:rPr>
          <w:rFonts w:ascii="Garamond" w:hAnsi="Garamond" w:cs="Times New Roman"/>
          <w:i/>
          <w:iCs/>
          <w:noProof/>
          <w:sz w:val="24"/>
          <w:szCs w:val="24"/>
        </w:rPr>
        <w:t>Midaduna: Journal Islamic Studies</w:t>
      </w:r>
      <w:r w:rsidRPr="00060A7D">
        <w:rPr>
          <w:rFonts w:ascii="Garamond" w:hAnsi="Garamond" w:cs="Times New Roman"/>
          <w:noProof/>
          <w:sz w:val="24"/>
          <w:szCs w:val="24"/>
        </w:rPr>
        <w:t xml:space="preserve">, </w:t>
      </w:r>
      <w:r w:rsidRPr="00060A7D">
        <w:rPr>
          <w:rFonts w:ascii="Garamond" w:hAnsi="Garamond" w:cs="Times New Roman"/>
          <w:i/>
          <w:iCs/>
          <w:noProof/>
          <w:sz w:val="24"/>
          <w:szCs w:val="24"/>
        </w:rPr>
        <w:t>1</w:t>
      </w:r>
      <w:r w:rsidRPr="00060A7D">
        <w:rPr>
          <w:rFonts w:ascii="Garamond" w:hAnsi="Garamond" w:cs="Times New Roman"/>
          <w:noProof/>
          <w:sz w:val="24"/>
          <w:szCs w:val="24"/>
        </w:rPr>
        <w:t>(1), 39–51.</w:t>
      </w:r>
    </w:p>
    <w:p w14:paraId="633E5DF8" w14:textId="77777777" w:rsidR="00072D0B" w:rsidRPr="00060A7D" w:rsidRDefault="00072D0B" w:rsidP="00060A7D">
      <w:pPr>
        <w:widowControl w:val="0"/>
        <w:autoSpaceDE w:val="0"/>
        <w:autoSpaceDN w:val="0"/>
        <w:adjustRightInd w:val="0"/>
        <w:spacing w:after="0" w:line="360" w:lineRule="auto"/>
        <w:ind w:left="851" w:hanging="851"/>
        <w:jc w:val="both"/>
        <w:rPr>
          <w:rFonts w:ascii="Garamond" w:hAnsi="Garamond" w:cs="Times New Roman"/>
          <w:noProof/>
          <w:sz w:val="24"/>
          <w:szCs w:val="24"/>
        </w:rPr>
      </w:pPr>
      <w:r w:rsidRPr="00060A7D">
        <w:rPr>
          <w:rFonts w:ascii="Garamond" w:hAnsi="Garamond" w:cs="Times New Roman"/>
          <w:noProof/>
          <w:sz w:val="24"/>
          <w:szCs w:val="24"/>
        </w:rPr>
        <w:t xml:space="preserve">Qomalisdy, L. P., Aljazira, N., &amp; Irgi, M. (2025). Mengkaji Metode Tafsir Oleh Fazlur Rahman. </w:t>
      </w:r>
      <w:r w:rsidRPr="00060A7D">
        <w:rPr>
          <w:rFonts w:ascii="Garamond" w:hAnsi="Garamond" w:cs="Times New Roman"/>
          <w:i/>
          <w:iCs/>
          <w:noProof/>
          <w:sz w:val="24"/>
          <w:szCs w:val="24"/>
        </w:rPr>
        <w:t>Edusola</w:t>
      </w:r>
      <w:r w:rsidRPr="00060A7D">
        <w:rPr>
          <w:rFonts w:ascii="Times New Roman" w:hAnsi="Times New Roman" w:cs="Times New Roman"/>
          <w:i/>
          <w:iCs/>
          <w:noProof/>
          <w:sz w:val="24"/>
          <w:szCs w:val="24"/>
        </w:rPr>
        <w:t> </w:t>
      </w:r>
      <w:r w:rsidRPr="00060A7D">
        <w:rPr>
          <w:rFonts w:ascii="Garamond" w:hAnsi="Garamond" w:cs="Times New Roman"/>
          <w:i/>
          <w:iCs/>
          <w:noProof/>
          <w:sz w:val="24"/>
          <w:szCs w:val="24"/>
        </w:rPr>
        <w:t>: Journal Education, Sociology and Law</w:t>
      </w:r>
      <w:r w:rsidRPr="00060A7D">
        <w:rPr>
          <w:rFonts w:ascii="Garamond" w:hAnsi="Garamond" w:cs="Times New Roman"/>
          <w:noProof/>
          <w:sz w:val="24"/>
          <w:szCs w:val="24"/>
        </w:rPr>
        <w:t xml:space="preserve">, </w:t>
      </w:r>
      <w:r w:rsidRPr="00060A7D">
        <w:rPr>
          <w:rFonts w:ascii="Garamond" w:hAnsi="Garamond" w:cs="Times New Roman"/>
          <w:i/>
          <w:iCs/>
          <w:noProof/>
          <w:sz w:val="24"/>
          <w:szCs w:val="24"/>
        </w:rPr>
        <w:t>1</w:t>
      </w:r>
      <w:r w:rsidRPr="00060A7D">
        <w:rPr>
          <w:rFonts w:ascii="Garamond" w:hAnsi="Garamond" w:cs="Times New Roman"/>
          <w:noProof/>
          <w:sz w:val="24"/>
          <w:szCs w:val="24"/>
        </w:rPr>
        <w:t>(1), 61–80.</w:t>
      </w:r>
    </w:p>
    <w:p w14:paraId="6AA7ED99" w14:textId="5CDC1674" w:rsidR="00072D0B" w:rsidRPr="00060A7D" w:rsidRDefault="00072D0B" w:rsidP="00060A7D">
      <w:pPr>
        <w:widowControl w:val="0"/>
        <w:autoSpaceDE w:val="0"/>
        <w:autoSpaceDN w:val="0"/>
        <w:adjustRightInd w:val="0"/>
        <w:spacing w:after="0" w:line="360" w:lineRule="auto"/>
        <w:ind w:left="851" w:hanging="851"/>
        <w:jc w:val="both"/>
        <w:rPr>
          <w:rFonts w:ascii="Garamond" w:hAnsi="Garamond" w:cs="Times New Roman"/>
          <w:noProof/>
          <w:sz w:val="24"/>
          <w:szCs w:val="24"/>
        </w:rPr>
      </w:pPr>
      <w:r w:rsidRPr="00060A7D">
        <w:rPr>
          <w:rFonts w:ascii="Garamond" w:hAnsi="Garamond" w:cs="Times New Roman"/>
          <w:noProof/>
          <w:sz w:val="24"/>
          <w:szCs w:val="24"/>
        </w:rPr>
        <w:t xml:space="preserve">Rahma, V. I. El. (2021). Double Movement: Hermeneutika Alquran Fazlur Rahman (Study kritis para ahli terhadap penafsiran Fazlur Rahman). </w:t>
      </w:r>
      <w:r w:rsidRPr="00060A7D">
        <w:rPr>
          <w:rFonts w:ascii="Garamond" w:hAnsi="Garamond" w:cs="Times New Roman"/>
          <w:i/>
          <w:iCs/>
          <w:noProof/>
          <w:sz w:val="24"/>
          <w:szCs w:val="24"/>
        </w:rPr>
        <w:t>Jurnal Keislaman</w:t>
      </w:r>
      <w:r w:rsidRPr="00060A7D">
        <w:rPr>
          <w:rFonts w:ascii="Garamond" w:hAnsi="Garamond" w:cs="Times New Roman"/>
          <w:noProof/>
          <w:sz w:val="24"/>
          <w:szCs w:val="24"/>
        </w:rPr>
        <w:t xml:space="preserve">, </w:t>
      </w:r>
      <w:r w:rsidRPr="00060A7D">
        <w:rPr>
          <w:rFonts w:ascii="Garamond" w:hAnsi="Garamond" w:cs="Times New Roman"/>
          <w:i/>
          <w:iCs/>
          <w:noProof/>
          <w:sz w:val="24"/>
          <w:szCs w:val="24"/>
        </w:rPr>
        <w:t>4</w:t>
      </w:r>
      <w:r w:rsidRPr="00060A7D">
        <w:rPr>
          <w:rFonts w:ascii="Garamond" w:hAnsi="Garamond" w:cs="Times New Roman"/>
          <w:noProof/>
          <w:sz w:val="24"/>
          <w:szCs w:val="24"/>
        </w:rPr>
        <w:t xml:space="preserve">(2), 127–143. </w:t>
      </w:r>
    </w:p>
    <w:p w14:paraId="4753061C" w14:textId="02564765" w:rsidR="00072D0B" w:rsidRPr="00060A7D" w:rsidRDefault="00072D0B" w:rsidP="00060A7D">
      <w:pPr>
        <w:widowControl w:val="0"/>
        <w:autoSpaceDE w:val="0"/>
        <w:autoSpaceDN w:val="0"/>
        <w:adjustRightInd w:val="0"/>
        <w:spacing w:after="0" w:line="360" w:lineRule="auto"/>
        <w:ind w:left="851" w:hanging="851"/>
        <w:jc w:val="both"/>
        <w:rPr>
          <w:rFonts w:ascii="Garamond" w:hAnsi="Garamond" w:cs="Times New Roman"/>
          <w:noProof/>
          <w:sz w:val="24"/>
          <w:szCs w:val="24"/>
        </w:rPr>
      </w:pPr>
      <w:r w:rsidRPr="00060A7D">
        <w:rPr>
          <w:rFonts w:ascii="Garamond" w:hAnsi="Garamond" w:cs="Times New Roman"/>
          <w:noProof/>
          <w:sz w:val="24"/>
          <w:szCs w:val="24"/>
        </w:rPr>
        <w:t xml:space="preserve">Rahman, F. (1970). Islamic modernism: Its scope, method and alternatives. </w:t>
      </w:r>
      <w:r w:rsidRPr="00060A7D">
        <w:rPr>
          <w:rFonts w:ascii="Garamond" w:hAnsi="Garamond" w:cs="Times New Roman"/>
          <w:i/>
          <w:iCs/>
          <w:noProof/>
          <w:sz w:val="24"/>
          <w:szCs w:val="24"/>
        </w:rPr>
        <w:t xml:space="preserve">International </w:t>
      </w:r>
      <w:r w:rsidRPr="00060A7D">
        <w:rPr>
          <w:rFonts w:ascii="Garamond" w:hAnsi="Garamond" w:cs="Times New Roman"/>
          <w:i/>
          <w:iCs/>
          <w:noProof/>
          <w:sz w:val="24"/>
          <w:szCs w:val="24"/>
        </w:rPr>
        <w:lastRenderedPageBreak/>
        <w:t>Journal of Middle East Studies</w:t>
      </w:r>
      <w:r w:rsidRPr="00060A7D">
        <w:rPr>
          <w:rFonts w:ascii="Garamond" w:hAnsi="Garamond" w:cs="Times New Roman"/>
          <w:noProof/>
          <w:sz w:val="24"/>
          <w:szCs w:val="24"/>
        </w:rPr>
        <w:t xml:space="preserve">, </w:t>
      </w:r>
      <w:r w:rsidRPr="00060A7D">
        <w:rPr>
          <w:rFonts w:ascii="Garamond" w:hAnsi="Garamond" w:cs="Times New Roman"/>
          <w:i/>
          <w:iCs/>
          <w:noProof/>
          <w:sz w:val="24"/>
          <w:szCs w:val="24"/>
        </w:rPr>
        <w:t>1</w:t>
      </w:r>
      <w:r w:rsidRPr="00060A7D">
        <w:rPr>
          <w:rFonts w:ascii="Garamond" w:hAnsi="Garamond" w:cs="Times New Roman"/>
          <w:noProof/>
          <w:sz w:val="24"/>
          <w:szCs w:val="24"/>
        </w:rPr>
        <w:t xml:space="preserve">(4), 317–333. </w:t>
      </w:r>
    </w:p>
    <w:p w14:paraId="571E3FDB" w14:textId="42FDACB5" w:rsidR="00072D0B" w:rsidRPr="00060A7D" w:rsidRDefault="00072D0B" w:rsidP="00060A7D">
      <w:pPr>
        <w:widowControl w:val="0"/>
        <w:autoSpaceDE w:val="0"/>
        <w:autoSpaceDN w:val="0"/>
        <w:adjustRightInd w:val="0"/>
        <w:spacing w:after="0" w:line="360" w:lineRule="auto"/>
        <w:ind w:left="851" w:hanging="851"/>
        <w:jc w:val="both"/>
        <w:rPr>
          <w:rFonts w:ascii="Garamond" w:hAnsi="Garamond" w:cs="Times New Roman"/>
          <w:noProof/>
          <w:sz w:val="24"/>
          <w:szCs w:val="24"/>
        </w:rPr>
      </w:pPr>
      <w:r w:rsidRPr="00060A7D">
        <w:rPr>
          <w:rFonts w:ascii="Garamond" w:hAnsi="Garamond" w:cs="Times New Roman"/>
          <w:noProof/>
          <w:sz w:val="24"/>
          <w:szCs w:val="24"/>
        </w:rPr>
        <w:t xml:space="preserve">Ramdhani, N. B. A., Insanissa’adah, M., Pandu, P., &amp; Gunawan, A. R. (2024). Pemikiran Fazlur Rahman Dalam Penggunaan Hermeneutika Dalam Tafsir Al-Qur’an. </w:t>
      </w:r>
      <w:r w:rsidRPr="00060A7D">
        <w:rPr>
          <w:rFonts w:ascii="Garamond" w:hAnsi="Garamond" w:cs="Times New Roman"/>
          <w:i/>
          <w:iCs/>
          <w:noProof/>
          <w:sz w:val="24"/>
          <w:szCs w:val="24"/>
        </w:rPr>
        <w:t>Raudhah Proud To Be Professionals</w:t>
      </w:r>
      <w:r w:rsidRPr="00060A7D">
        <w:rPr>
          <w:rFonts w:ascii="Times New Roman" w:hAnsi="Times New Roman" w:cs="Times New Roman"/>
          <w:i/>
          <w:iCs/>
          <w:noProof/>
          <w:sz w:val="24"/>
          <w:szCs w:val="24"/>
        </w:rPr>
        <w:t> </w:t>
      </w:r>
      <w:r w:rsidRPr="00060A7D">
        <w:rPr>
          <w:rFonts w:ascii="Garamond" w:hAnsi="Garamond" w:cs="Times New Roman"/>
          <w:i/>
          <w:iCs/>
          <w:noProof/>
          <w:sz w:val="24"/>
          <w:szCs w:val="24"/>
        </w:rPr>
        <w:t>: Jurnal Tarbiyah Islamiyah</w:t>
      </w:r>
      <w:r w:rsidRPr="00060A7D">
        <w:rPr>
          <w:rFonts w:ascii="Garamond" w:hAnsi="Garamond" w:cs="Times New Roman"/>
          <w:noProof/>
          <w:sz w:val="24"/>
          <w:szCs w:val="24"/>
        </w:rPr>
        <w:t xml:space="preserve">, </w:t>
      </w:r>
      <w:r w:rsidRPr="00060A7D">
        <w:rPr>
          <w:rFonts w:ascii="Garamond" w:hAnsi="Garamond" w:cs="Times New Roman"/>
          <w:i/>
          <w:iCs/>
          <w:noProof/>
          <w:sz w:val="24"/>
          <w:szCs w:val="24"/>
        </w:rPr>
        <w:t>8</w:t>
      </w:r>
      <w:r w:rsidRPr="00060A7D">
        <w:rPr>
          <w:rFonts w:ascii="Garamond" w:hAnsi="Garamond" w:cs="Times New Roman"/>
          <w:noProof/>
          <w:sz w:val="24"/>
          <w:szCs w:val="24"/>
        </w:rPr>
        <w:t xml:space="preserve">(3), 1047–1057. </w:t>
      </w:r>
    </w:p>
    <w:p w14:paraId="3E848CAD" w14:textId="77777777" w:rsidR="00072D0B" w:rsidRPr="00060A7D" w:rsidRDefault="00072D0B" w:rsidP="00060A7D">
      <w:pPr>
        <w:widowControl w:val="0"/>
        <w:autoSpaceDE w:val="0"/>
        <w:autoSpaceDN w:val="0"/>
        <w:adjustRightInd w:val="0"/>
        <w:spacing w:after="0" w:line="360" w:lineRule="auto"/>
        <w:ind w:left="851" w:hanging="851"/>
        <w:jc w:val="both"/>
        <w:rPr>
          <w:rFonts w:ascii="Garamond" w:hAnsi="Garamond" w:cs="Times New Roman"/>
          <w:noProof/>
          <w:sz w:val="24"/>
          <w:szCs w:val="24"/>
        </w:rPr>
      </w:pPr>
      <w:r w:rsidRPr="00060A7D">
        <w:rPr>
          <w:rFonts w:ascii="Garamond" w:hAnsi="Garamond" w:cs="Times New Roman"/>
          <w:noProof/>
          <w:sz w:val="24"/>
          <w:szCs w:val="24"/>
        </w:rPr>
        <w:t xml:space="preserve">Rohman, A. (2021). Konsep Ayat-ayat Eskatologi Perspektif Fazlur Rahman. </w:t>
      </w:r>
      <w:r w:rsidRPr="00060A7D">
        <w:rPr>
          <w:rFonts w:ascii="Garamond" w:hAnsi="Garamond" w:cs="Times New Roman"/>
          <w:i/>
          <w:iCs/>
          <w:noProof/>
          <w:sz w:val="24"/>
          <w:szCs w:val="24"/>
        </w:rPr>
        <w:t>Al-Ifkar</w:t>
      </w:r>
      <w:r w:rsidRPr="00060A7D">
        <w:rPr>
          <w:rFonts w:ascii="Garamond" w:hAnsi="Garamond" w:cs="Times New Roman"/>
          <w:noProof/>
          <w:sz w:val="24"/>
          <w:szCs w:val="24"/>
        </w:rPr>
        <w:t xml:space="preserve">, </w:t>
      </w:r>
      <w:r w:rsidRPr="00060A7D">
        <w:rPr>
          <w:rFonts w:ascii="Garamond" w:hAnsi="Garamond" w:cs="Times New Roman"/>
          <w:i/>
          <w:iCs/>
          <w:noProof/>
          <w:sz w:val="24"/>
          <w:szCs w:val="24"/>
        </w:rPr>
        <w:t>16</w:t>
      </w:r>
      <w:r w:rsidRPr="00060A7D">
        <w:rPr>
          <w:rFonts w:ascii="Garamond" w:hAnsi="Garamond" w:cs="Times New Roman"/>
          <w:noProof/>
          <w:sz w:val="24"/>
          <w:szCs w:val="24"/>
        </w:rPr>
        <w:t>(2), 4–20.</w:t>
      </w:r>
    </w:p>
    <w:p w14:paraId="7E1593B3" w14:textId="18D76C62" w:rsidR="00072D0B" w:rsidRPr="00060A7D" w:rsidRDefault="00072D0B" w:rsidP="00060A7D">
      <w:pPr>
        <w:widowControl w:val="0"/>
        <w:autoSpaceDE w:val="0"/>
        <w:autoSpaceDN w:val="0"/>
        <w:adjustRightInd w:val="0"/>
        <w:spacing w:after="0" w:line="360" w:lineRule="auto"/>
        <w:ind w:left="851" w:hanging="851"/>
        <w:jc w:val="both"/>
        <w:rPr>
          <w:rFonts w:ascii="Garamond" w:hAnsi="Garamond" w:cs="Times New Roman"/>
          <w:noProof/>
          <w:sz w:val="24"/>
          <w:szCs w:val="24"/>
        </w:rPr>
      </w:pPr>
      <w:r w:rsidRPr="00060A7D">
        <w:rPr>
          <w:rFonts w:ascii="Garamond" w:hAnsi="Garamond" w:cs="Times New Roman"/>
          <w:noProof/>
          <w:sz w:val="24"/>
          <w:szCs w:val="24"/>
        </w:rPr>
        <w:t xml:space="preserve">Rozaq, A. (2023). Qur’anic Hermeneutics and its Applications by Fazlur Rahman. </w:t>
      </w:r>
      <w:r w:rsidRPr="00060A7D">
        <w:rPr>
          <w:rFonts w:ascii="Garamond" w:hAnsi="Garamond" w:cs="Times New Roman"/>
          <w:i/>
          <w:iCs/>
          <w:noProof/>
          <w:sz w:val="24"/>
          <w:szCs w:val="24"/>
        </w:rPr>
        <w:t>International Journal of Islamicate Social Studies</w:t>
      </w:r>
      <w:r w:rsidRPr="00060A7D">
        <w:rPr>
          <w:rFonts w:ascii="Garamond" w:hAnsi="Garamond" w:cs="Times New Roman"/>
          <w:noProof/>
          <w:sz w:val="24"/>
          <w:szCs w:val="24"/>
        </w:rPr>
        <w:t xml:space="preserve">, </w:t>
      </w:r>
      <w:r w:rsidRPr="00060A7D">
        <w:rPr>
          <w:rFonts w:ascii="Garamond" w:hAnsi="Garamond" w:cs="Times New Roman"/>
          <w:i/>
          <w:iCs/>
          <w:noProof/>
          <w:sz w:val="24"/>
          <w:szCs w:val="24"/>
        </w:rPr>
        <w:t>1</w:t>
      </w:r>
      <w:r w:rsidRPr="00060A7D">
        <w:rPr>
          <w:rFonts w:ascii="Garamond" w:hAnsi="Garamond" w:cs="Times New Roman"/>
          <w:noProof/>
          <w:sz w:val="24"/>
          <w:szCs w:val="24"/>
        </w:rPr>
        <w:t xml:space="preserve">(2), 121–131. </w:t>
      </w:r>
    </w:p>
    <w:p w14:paraId="1CD0257A" w14:textId="1B65A0CE" w:rsidR="00072D0B" w:rsidRPr="00060A7D" w:rsidRDefault="00072D0B" w:rsidP="00060A7D">
      <w:pPr>
        <w:widowControl w:val="0"/>
        <w:autoSpaceDE w:val="0"/>
        <w:autoSpaceDN w:val="0"/>
        <w:adjustRightInd w:val="0"/>
        <w:spacing w:after="0" w:line="360" w:lineRule="auto"/>
        <w:ind w:left="851" w:hanging="851"/>
        <w:jc w:val="both"/>
        <w:rPr>
          <w:rFonts w:ascii="Garamond" w:hAnsi="Garamond" w:cs="Times New Roman"/>
          <w:noProof/>
          <w:sz w:val="24"/>
          <w:szCs w:val="24"/>
        </w:rPr>
      </w:pPr>
      <w:r w:rsidRPr="00060A7D">
        <w:rPr>
          <w:rFonts w:ascii="Garamond" w:hAnsi="Garamond" w:cs="Times New Roman"/>
          <w:noProof/>
          <w:sz w:val="24"/>
          <w:szCs w:val="24"/>
        </w:rPr>
        <w:t xml:space="preserve">Saeed, A. (2008). Some reflections on the contextualist approach to ethico-legal texts of the Quran. </w:t>
      </w:r>
      <w:r w:rsidRPr="00060A7D">
        <w:rPr>
          <w:rFonts w:ascii="Garamond" w:hAnsi="Garamond" w:cs="Times New Roman"/>
          <w:i/>
          <w:iCs/>
          <w:noProof/>
          <w:sz w:val="24"/>
          <w:szCs w:val="24"/>
        </w:rPr>
        <w:t>Bulletin of the School of Oriental and African Studies</w:t>
      </w:r>
      <w:r w:rsidRPr="00060A7D">
        <w:rPr>
          <w:rFonts w:ascii="Garamond" w:hAnsi="Garamond" w:cs="Times New Roman"/>
          <w:noProof/>
          <w:sz w:val="24"/>
          <w:szCs w:val="24"/>
        </w:rPr>
        <w:t xml:space="preserve">, </w:t>
      </w:r>
      <w:r w:rsidRPr="00060A7D">
        <w:rPr>
          <w:rFonts w:ascii="Garamond" w:hAnsi="Garamond" w:cs="Times New Roman"/>
          <w:i/>
          <w:iCs/>
          <w:noProof/>
          <w:sz w:val="24"/>
          <w:szCs w:val="24"/>
        </w:rPr>
        <w:t>71</w:t>
      </w:r>
      <w:r w:rsidRPr="00060A7D">
        <w:rPr>
          <w:rFonts w:ascii="Garamond" w:hAnsi="Garamond" w:cs="Times New Roman"/>
          <w:noProof/>
          <w:sz w:val="24"/>
          <w:szCs w:val="24"/>
        </w:rPr>
        <w:t xml:space="preserve">(2), 221–237. </w:t>
      </w:r>
    </w:p>
    <w:p w14:paraId="783A7F13" w14:textId="77777777" w:rsidR="00072D0B" w:rsidRPr="00060A7D" w:rsidRDefault="00072D0B" w:rsidP="00060A7D">
      <w:pPr>
        <w:widowControl w:val="0"/>
        <w:autoSpaceDE w:val="0"/>
        <w:autoSpaceDN w:val="0"/>
        <w:adjustRightInd w:val="0"/>
        <w:spacing w:after="0" w:line="360" w:lineRule="auto"/>
        <w:ind w:left="851" w:hanging="851"/>
        <w:jc w:val="both"/>
        <w:rPr>
          <w:rFonts w:ascii="Garamond" w:hAnsi="Garamond" w:cs="Times New Roman"/>
          <w:noProof/>
          <w:sz w:val="24"/>
          <w:szCs w:val="24"/>
        </w:rPr>
      </w:pPr>
      <w:r w:rsidRPr="00060A7D">
        <w:rPr>
          <w:rFonts w:ascii="Garamond" w:hAnsi="Garamond" w:cs="Times New Roman"/>
          <w:noProof/>
          <w:sz w:val="24"/>
          <w:szCs w:val="24"/>
        </w:rPr>
        <w:t xml:space="preserve">Samsir, S. (2023). Studi Metodologi Tafsir Fazlur Rahman. </w:t>
      </w:r>
      <w:r w:rsidRPr="00060A7D">
        <w:rPr>
          <w:rFonts w:ascii="Garamond" w:hAnsi="Garamond" w:cs="Times New Roman"/>
          <w:i/>
          <w:iCs/>
          <w:noProof/>
          <w:sz w:val="24"/>
          <w:szCs w:val="24"/>
        </w:rPr>
        <w:t>Tafasir</w:t>
      </w:r>
      <w:r w:rsidRPr="00060A7D">
        <w:rPr>
          <w:rFonts w:ascii="Garamond" w:hAnsi="Garamond" w:cs="Times New Roman"/>
          <w:noProof/>
          <w:sz w:val="24"/>
          <w:szCs w:val="24"/>
        </w:rPr>
        <w:t xml:space="preserve">, </w:t>
      </w:r>
      <w:r w:rsidRPr="00060A7D">
        <w:rPr>
          <w:rFonts w:ascii="Garamond" w:hAnsi="Garamond" w:cs="Times New Roman"/>
          <w:i/>
          <w:iCs/>
          <w:noProof/>
          <w:sz w:val="24"/>
          <w:szCs w:val="24"/>
        </w:rPr>
        <w:t>1</w:t>
      </w:r>
      <w:r w:rsidRPr="00060A7D">
        <w:rPr>
          <w:rFonts w:ascii="Garamond" w:hAnsi="Garamond" w:cs="Times New Roman"/>
          <w:noProof/>
          <w:sz w:val="24"/>
          <w:szCs w:val="24"/>
        </w:rPr>
        <w:t>(1), 45–55.</w:t>
      </w:r>
    </w:p>
    <w:p w14:paraId="772A0039" w14:textId="24D6B0F7" w:rsidR="00072D0B" w:rsidRPr="00060A7D" w:rsidRDefault="00072D0B" w:rsidP="00060A7D">
      <w:pPr>
        <w:widowControl w:val="0"/>
        <w:autoSpaceDE w:val="0"/>
        <w:autoSpaceDN w:val="0"/>
        <w:adjustRightInd w:val="0"/>
        <w:spacing w:after="0" w:line="360" w:lineRule="auto"/>
        <w:ind w:left="851" w:hanging="851"/>
        <w:jc w:val="both"/>
        <w:rPr>
          <w:rFonts w:ascii="Garamond" w:hAnsi="Garamond" w:cs="Times New Roman"/>
          <w:noProof/>
          <w:sz w:val="24"/>
          <w:szCs w:val="24"/>
        </w:rPr>
      </w:pPr>
      <w:r w:rsidRPr="00060A7D">
        <w:rPr>
          <w:rFonts w:ascii="Garamond" w:hAnsi="Garamond" w:cs="Times New Roman"/>
          <w:noProof/>
          <w:sz w:val="24"/>
          <w:szCs w:val="24"/>
        </w:rPr>
        <w:t xml:space="preserve">Sujai, A. (2022). Study Of The Al-Qur’an With A Modern Approach. </w:t>
      </w:r>
      <w:r w:rsidRPr="00060A7D">
        <w:rPr>
          <w:rFonts w:ascii="Garamond" w:hAnsi="Garamond" w:cs="Times New Roman"/>
          <w:i/>
          <w:iCs/>
          <w:noProof/>
          <w:sz w:val="24"/>
          <w:szCs w:val="24"/>
        </w:rPr>
        <w:t>Alif Lam: Journal of Islamic Studies and Humanities</w:t>
      </w:r>
      <w:r w:rsidRPr="00060A7D">
        <w:rPr>
          <w:rFonts w:ascii="Garamond" w:hAnsi="Garamond" w:cs="Times New Roman"/>
          <w:noProof/>
          <w:sz w:val="24"/>
          <w:szCs w:val="24"/>
        </w:rPr>
        <w:t xml:space="preserve">, </w:t>
      </w:r>
      <w:r w:rsidRPr="00060A7D">
        <w:rPr>
          <w:rFonts w:ascii="Garamond" w:hAnsi="Garamond" w:cs="Times New Roman"/>
          <w:i/>
          <w:iCs/>
          <w:noProof/>
          <w:sz w:val="24"/>
          <w:szCs w:val="24"/>
        </w:rPr>
        <w:t>3</w:t>
      </w:r>
      <w:r w:rsidRPr="00060A7D">
        <w:rPr>
          <w:rFonts w:ascii="Garamond" w:hAnsi="Garamond" w:cs="Times New Roman"/>
          <w:noProof/>
          <w:sz w:val="24"/>
          <w:szCs w:val="24"/>
        </w:rPr>
        <w:t xml:space="preserve">(2), 70–79. </w:t>
      </w:r>
    </w:p>
    <w:p w14:paraId="21578285" w14:textId="5B4FBB10" w:rsidR="00072D0B" w:rsidRPr="00060A7D" w:rsidRDefault="00072D0B" w:rsidP="00060A7D">
      <w:pPr>
        <w:widowControl w:val="0"/>
        <w:autoSpaceDE w:val="0"/>
        <w:autoSpaceDN w:val="0"/>
        <w:adjustRightInd w:val="0"/>
        <w:spacing w:after="0" w:line="360" w:lineRule="auto"/>
        <w:ind w:left="851" w:hanging="851"/>
        <w:jc w:val="both"/>
        <w:rPr>
          <w:rFonts w:ascii="Garamond" w:hAnsi="Garamond" w:cs="Times New Roman"/>
          <w:noProof/>
          <w:sz w:val="24"/>
          <w:szCs w:val="24"/>
        </w:rPr>
      </w:pPr>
      <w:r w:rsidRPr="00060A7D">
        <w:rPr>
          <w:rFonts w:ascii="Garamond" w:hAnsi="Garamond" w:cs="Times New Roman"/>
          <w:noProof/>
          <w:sz w:val="24"/>
          <w:szCs w:val="24"/>
        </w:rPr>
        <w:t xml:space="preserve">Syakir, A. I., Daulay, A. N., &amp; Fitri, S. R. (2025). Tafsir Historis-Sosiologis Fazlur Rahman: Menjawab Tantangan Zaman Dengan Al-Qur’an. </w:t>
      </w:r>
      <w:r w:rsidRPr="00060A7D">
        <w:rPr>
          <w:rFonts w:ascii="Garamond" w:hAnsi="Garamond" w:cs="Times New Roman"/>
          <w:i/>
          <w:iCs/>
          <w:noProof/>
          <w:sz w:val="24"/>
          <w:szCs w:val="24"/>
        </w:rPr>
        <w:t>ALMUSTOFA: Journal of Islamic Studies and Research</w:t>
      </w:r>
      <w:r w:rsidRPr="00060A7D">
        <w:rPr>
          <w:rFonts w:ascii="Garamond" w:hAnsi="Garamond" w:cs="Times New Roman"/>
          <w:noProof/>
          <w:sz w:val="24"/>
          <w:szCs w:val="24"/>
        </w:rPr>
        <w:t xml:space="preserve">, </w:t>
      </w:r>
      <w:r w:rsidRPr="00060A7D">
        <w:rPr>
          <w:rFonts w:ascii="Garamond" w:hAnsi="Garamond" w:cs="Times New Roman"/>
          <w:i/>
          <w:iCs/>
          <w:noProof/>
          <w:sz w:val="24"/>
          <w:szCs w:val="24"/>
        </w:rPr>
        <w:t>2</w:t>
      </w:r>
      <w:r w:rsidRPr="00060A7D">
        <w:rPr>
          <w:rFonts w:ascii="Garamond" w:hAnsi="Garamond" w:cs="Times New Roman"/>
          <w:noProof/>
          <w:sz w:val="24"/>
          <w:szCs w:val="24"/>
        </w:rPr>
        <w:t xml:space="preserve">(1), 271–283. </w:t>
      </w:r>
    </w:p>
    <w:p w14:paraId="3536ECE0" w14:textId="1CC82BA8" w:rsidR="00072D0B" w:rsidRPr="00060A7D" w:rsidRDefault="00072D0B" w:rsidP="00060A7D">
      <w:pPr>
        <w:widowControl w:val="0"/>
        <w:autoSpaceDE w:val="0"/>
        <w:autoSpaceDN w:val="0"/>
        <w:adjustRightInd w:val="0"/>
        <w:spacing w:after="0" w:line="360" w:lineRule="auto"/>
        <w:ind w:left="851" w:hanging="851"/>
        <w:jc w:val="both"/>
        <w:rPr>
          <w:rFonts w:ascii="Garamond" w:hAnsi="Garamond" w:cs="Times New Roman"/>
          <w:noProof/>
          <w:sz w:val="24"/>
          <w:szCs w:val="24"/>
        </w:rPr>
      </w:pPr>
      <w:r w:rsidRPr="00060A7D">
        <w:rPr>
          <w:rFonts w:ascii="Garamond" w:hAnsi="Garamond" w:cs="Times New Roman"/>
          <w:noProof/>
          <w:sz w:val="24"/>
          <w:szCs w:val="24"/>
        </w:rPr>
        <w:t xml:space="preserve">Syauqi, M. L. (2022). Hermeneutika Double Movement Fazlur Rahman Dan Signifikansinya Terhadap Penafsiran Kontekstual Al-Qur’an. </w:t>
      </w:r>
      <w:r w:rsidRPr="00060A7D">
        <w:rPr>
          <w:rFonts w:ascii="Garamond" w:hAnsi="Garamond" w:cs="Times New Roman"/>
          <w:i/>
          <w:iCs/>
          <w:noProof/>
          <w:sz w:val="24"/>
          <w:szCs w:val="24"/>
        </w:rPr>
        <w:t>Rausyan Fikr: Jurnal Ilmu Studi Ushuluddin dan Filsafat</w:t>
      </w:r>
      <w:r w:rsidRPr="00060A7D">
        <w:rPr>
          <w:rFonts w:ascii="Garamond" w:hAnsi="Garamond" w:cs="Times New Roman"/>
          <w:noProof/>
          <w:sz w:val="24"/>
          <w:szCs w:val="24"/>
        </w:rPr>
        <w:t xml:space="preserve">, </w:t>
      </w:r>
      <w:r w:rsidRPr="00060A7D">
        <w:rPr>
          <w:rFonts w:ascii="Garamond" w:hAnsi="Garamond" w:cs="Times New Roman"/>
          <w:i/>
          <w:iCs/>
          <w:noProof/>
          <w:sz w:val="24"/>
          <w:szCs w:val="24"/>
        </w:rPr>
        <w:t>18</w:t>
      </w:r>
      <w:r w:rsidRPr="00060A7D">
        <w:rPr>
          <w:rFonts w:ascii="Garamond" w:hAnsi="Garamond" w:cs="Times New Roman"/>
          <w:noProof/>
          <w:sz w:val="24"/>
          <w:szCs w:val="24"/>
        </w:rPr>
        <w:t xml:space="preserve">(2), 189–215. </w:t>
      </w:r>
    </w:p>
    <w:p w14:paraId="172A2EEF" w14:textId="77777777" w:rsidR="00072D0B" w:rsidRPr="00060A7D" w:rsidRDefault="00072D0B" w:rsidP="00060A7D">
      <w:pPr>
        <w:widowControl w:val="0"/>
        <w:autoSpaceDE w:val="0"/>
        <w:autoSpaceDN w:val="0"/>
        <w:adjustRightInd w:val="0"/>
        <w:spacing w:after="0" w:line="360" w:lineRule="auto"/>
        <w:ind w:left="851" w:hanging="851"/>
        <w:jc w:val="both"/>
        <w:rPr>
          <w:rFonts w:ascii="Garamond" w:hAnsi="Garamond" w:cs="Times New Roman"/>
          <w:noProof/>
          <w:sz w:val="24"/>
          <w:szCs w:val="24"/>
        </w:rPr>
      </w:pPr>
      <w:r w:rsidRPr="00060A7D">
        <w:rPr>
          <w:rFonts w:ascii="Garamond" w:hAnsi="Garamond" w:cs="Times New Roman"/>
          <w:noProof/>
          <w:sz w:val="24"/>
          <w:szCs w:val="24"/>
        </w:rPr>
        <w:t xml:space="preserve">Taji-Farouki, S., &amp; Studies, I. of I. (2006). </w:t>
      </w:r>
      <w:r w:rsidRPr="00060A7D">
        <w:rPr>
          <w:rFonts w:ascii="Garamond" w:hAnsi="Garamond" w:cs="Times New Roman"/>
          <w:i/>
          <w:iCs/>
          <w:noProof/>
          <w:sz w:val="24"/>
          <w:szCs w:val="24"/>
        </w:rPr>
        <w:t>Modern Muslim Intellectuals and the Qur’an</w:t>
      </w:r>
      <w:r w:rsidRPr="00060A7D">
        <w:rPr>
          <w:rFonts w:ascii="Garamond" w:hAnsi="Garamond" w:cs="Times New Roman"/>
          <w:noProof/>
          <w:sz w:val="24"/>
          <w:szCs w:val="24"/>
        </w:rPr>
        <w:t>. OUP. https://books.google.co.id/books?id=003Y7hR9RcsC</w:t>
      </w:r>
    </w:p>
    <w:p w14:paraId="48574D55" w14:textId="77777777" w:rsidR="00072D0B" w:rsidRPr="00060A7D" w:rsidRDefault="00072D0B" w:rsidP="00060A7D">
      <w:pPr>
        <w:widowControl w:val="0"/>
        <w:autoSpaceDE w:val="0"/>
        <w:autoSpaceDN w:val="0"/>
        <w:adjustRightInd w:val="0"/>
        <w:spacing w:after="0" w:line="360" w:lineRule="auto"/>
        <w:ind w:left="851" w:hanging="851"/>
        <w:jc w:val="both"/>
        <w:rPr>
          <w:rFonts w:ascii="Garamond" w:hAnsi="Garamond" w:cs="Times New Roman"/>
          <w:noProof/>
          <w:sz w:val="24"/>
          <w:szCs w:val="24"/>
        </w:rPr>
      </w:pPr>
      <w:r w:rsidRPr="00060A7D">
        <w:rPr>
          <w:rFonts w:ascii="Garamond" w:hAnsi="Garamond" w:cs="Times New Roman"/>
          <w:noProof/>
          <w:sz w:val="24"/>
          <w:szCs w:val="24"/>
        </w:rPr>
        <w:t xml:space="preserve">Tamer, G. (2024). </w:t>
      </w:r>
      <w:r w:rsidRPr="00060A7D">
        <w:rPr>
          <w:rFonts w:ascii="Garamond" w:hAnsi="Garamond" w:cs="Times New Roman"/>
          <w:i/>
          <w:iCs/>
          <w:noProof/>
          <w:sz w:val="24"/>
          <w:szCs w:val="24"/>
        </w:rPr>
        <w:t>Volume 4 Qur’anic Hermeneutics in the 19th and 20th Century</w:t>
      </w:r>
      <w:r w:rsidRPr="00060A7D">
        <w:rPr>
          <w:rFonts w:ascii="Garamond" w:hAnsi="Garamond" w:cs="Times New Roman"/>
          <w:noProof/>
          <w:sz w:val="24"/>
          <w:szCs w:val="24"/>
        </w:rPr>
        <w:t>. De Gruyter. https://books.google.co.id/books?id=lGroEAAAQBAJ</w:t>
      </w:r>
    </w:p>
    <w:p w14:paraId="583E8CCB" w14:textId="463F9383" w:rsidR="00072D0B" w:rsidRPr="00060A7D" w:rsidRDefault="00072D0B" w:rsidP="00060A7D">
      <w:pPr>
        <w:widowControl w:val="0"/>
        <w:autoSpaceDE w:val="0"/>
        <w:autoSpaceDN w:val="0"/>
        <w:adjustRightInd w:val="0"/>
        <w:spacing w:after="0" w:line="360" w:lineRule="auto"/>
        <w:ind w:left="851" w:hanging="851"/>
        <w:jc w:val="both"/>
        <w:rPr>
          <w:rFonts w:ascii="Garamond" w:hAnsi="Garamond" w:cs="Times New Roman"/>
          <w:noProof/>
          <w:sz w:val="24"/>
          <w:szCs w:val="24"/>
        </w:rPr>
      </w:pPr>
      <w:r w:rsidRPr="00060A7D">
        <w:rPr>
          <w:rFonts w:ascii="Garamond" w:hAnsi="Garamond" w:cs="Times New Roman"/>
          <w:noProof/>
          <w:sz w:val="24"/>
          <w:szCs w:val="24"/>
        </w:rPr>
        <w:t xml:space="preserve">Triana, R. (2019). Desain Penelitian Al-Qur’an dan Tafsir. </w:t>
      </w:r>
      <w:r w:rsidRPr="00060A7D">
        <w:rPr>
          <w:rFonts w:ascii="Garamond" w:hAnsi="Garamond" w:cs="Times New Roman"/>
          <w:i/>
          <w:iCs/>
          <w:noProof/>
          <w:sz w:val="24"/>
          <w:szCs w:val="24"/>
        </w:rPr>
        <w:t>Al Tadabbur: Jurnal Ilmu AlQur’an dan Tafsir</w:t>
      </w:r>
      <w:r w:rsidRPr="00060A7D">
        <w:rPr>
          <w:rFonts w:ascii="Garamond" w:hAnsi="Garamond" w:cs="Times New Roman"/>
          <w:noProof/>
          <w:sz w:val="24"/>
          <w:szCs w:val="24"/>
        </w:rPr>
        <w:t xml:space="preserve">, </w:t>
      </w:r>
      <w:r w:rsidRPr="00060A7D">
        <w:rPr>
          <w:rFonts w:ascii="Garamond" w:hAnsi="Garamond" w:cs="Times New Roman"/>
          <w:i/>
          <w:iCs/>
          <w:noProof/>
          <w:sz w:val="24"/>
          <w:szCs w:val="24"/>
        </w:rPr>
        <w:t>04</w:t>
      </w:r>
      <w:r w:rsidRPr="00060A7D">
        <w:rPr>
          <w:rFonts w:ascii="Garamond" w:hAnsi="Garamond" w:cs="Times New Roman"/>
          <w:noProof/>
          <w:sz w:val="24"/>
          <w:szCs w:val="24"/>
        </w:rPr>
        <w:t xml:space="preserve">(02), 198–215. </w:t>
      </w:r>
    </w:p>
    <w:p w14:paraId="72AC3C8E" w14:textId="100AED5F" w:rsidR="00072D0B" w:rsidRPr="00060A7D" w:rsidRDefault="00072D0B" w:rsidP="00060A7D">
      <w:pPr>
        <w:widowControl w:val="0"/>
        <w:autoSpaceDE w:val="0"/>
        <w:autoSpaceDN w:val="0"/>
        <w:adjustRightInd w:val="0"/>
        <w:spacing w:after="0" w:line="360" w:lineRule="auto"/>
        <w:ind w:left="851" w:hanging="851"/>
        <w:jc w:val="both"/>
        <w:rPr>
          <w:rFonts w:ascii="Garamond" w:hAnsi="Garamond" w:cs="Times New Roman"/>
          <w:noProof/>
          <w:sz w:val="24"/>
          <w:szCs w:val="24"/>
        </w:rPr>
      </w:pPr>
      <w:r w:rsidRPr="00060A7D">
        <w:rPr>
          <w:rFonts w:ascii="Garamond" w:hAnsi="Garamond" w:cs="Times New Roman"/>
          <w:noProof/>
          <w:sz w:val="24"/>
          <w:szCs w:val="24"/>
        </w:rPr>
        <w:t xml:space="preserve">Umair, M., &amp; Said, H. A. (2023). Fazlur Rahman dan Teori Double Movement: Definisi dan Aplikasi. </w:t>
      </w:r>
      <w:r w:rsidRPr="00060A7D">
        <w:rPr>
          <w:rFonts w:ascii="Garamond" w:hAnsi="Garamond" w:cs="Times New Roman"/>
          <w:i/>
          <w:iCs/>
          <w:noProof/>
          <w:sz w:val="24"/>
          <w:szCs w:val="24"/>
        </w:rPr>
        <w:t>Al-Fahmu: Jurnal Ilmu Al-Qur’an dan Tafsir</w:t>
      </w:r>
      <w:r w:rsidRPr="00060A7D">
        <w:rPr>
          <w:rFonts w:ascii="Garamond" w:hAnsi="Garamond" w:cs="Times New Roman"/>
          <w:noProof/>
          <w:sz w:val="24"/>
          <w:szCs w:val="24"/>
        </w:rPr>
        <w:t xml:space="preserve">, </w:t>
      </w:r>
      <w:r w:rsidRPr="00060A7D">
        <w:rPr>
          <w:rFonts w:ascii="Garamond" w:hAnsi="Garamond" w:cs="Times New Roman"/>
          <w:i/>
          <w:iCs/>
          <w:noProof/>
          <w:sz w:val="24"/>
          <w:szCs w:val="24"/>
        </w:rPr>
        <w:t>2</w:t>
      </w:r>
      <w:r w:rsidRPr="00060A7D">
        <w:rPr>
          <w:rFonts w:ascii="Garamond" w:hAnsi="Garamond" w:cs="Times New Roman"/>
          <w:noProof/>
          <w:sz w:val="24"/>
          <w:szCs w:val="24"/>
        </w:rPr>
        <w:t xml:space="preserve">(1), 71–81. </w:t>
      </w:r>
    </w:p>
    <w:p w14:paraId="549C1A9B" w14:textId="77777777" w:rsidR="00072D0B" w:rsidRPr="00060A7D" w:rsidRDefault="00072D0B" w:rsidP="00060A7D">
      <w:pPr>
        <w:widowControl w:val="0"/>
        <w:autoSpaceDE w:val="0"/>
        <w:autoSpaceDN w:val="0"/>
        <w:adjustRightInd w:val="0"/>
        <w:spacing w:after="0" w:line="360" w:lineRule="auto"/>
        <w:ind w:left="851" w:hanging="851"/>
        <w:jc w:val="both"/>
        <w:rPr>
          <w:rFonts w:ascii="Garamond" w:hAnsi="Garamond" w:cs="Times New Roman"/>
          <w:noProof/>
          <w:sz w:val="24"/>
          <w:szCs w:val="24"/>
        </w:rPr>
      </w:pPr>
      <w:r w:rsidRPr="00060A7D">
        <w:rPr>
          <w:rFonts w:ascii="Garamond" w:hAnsi="Garamond" w:cs="Times New Roman"/>
          <w:noProof/>
          <w:sz w:val="24"/>
          <w:szCs w:val="24"/>
        </w:rPr>
        <w:t xml:space="preserve">Wekke, I. S. (2025). Notable Individuals Named Fazlur Rahman: A Comparative Biographical Study. </w:t>
      </w:r>
      <w:r w:rsidRPr="00060A7D">
        <w:rPr>
          <w:rFonts w:ascii="Garamond" w:hAnsi="Garamond" w:cs="Times New Roman"/>
          <w:i/>
          <w:iCs/>
          <w:noProof/>
          <w:sz w:val="24"/>
          <w:szCs w:val="24"/>
        </w:rPr>
        <w:t>IJHABS: International Journal of Humanity Advance, Business &amp; Sciences</w:t>
      </w:r>
      <w:r w:rsidRPr="00060A7D">
        <w:rPr>
          <w:rFonts w:ascii="Garamond" w:hAnsi="Garamond" w:cs="Times New Roman"/>
          <w:noProof/>
          <w:sz w:val="24"/>
          <w:szCs w:val="24"/>
        </w:rPr>
        <w:t xml:space="preserve">, </w:t>
      </w:r>
      <w:r w:rsidRPr="00060A7D">
        <w:rPr>
          <w:rFonts w:ascii="Garamond" w:hAnsi="Garamond" w:cs="Times New Roman"/>
          <w:i/>
          <w:iCs/>
          <w:noProof/>
          <w:sz w:val="24"/>
          <w:szCs w:val="24"/>
        </w:rPr>
        <w:t>2</w:t>
      </w:r>
      <w:r w:rsidRPr="00060A7D">
        <w:rPr>
          <w:rFonts w:ascii="Garamond" w:hAnsi="Garamond" w:cs="Times New Roman"/>
          <w:noProof/>
          <w:sz w:val="24"/>
          <w:szCs w:val="24"/>
        </w:rPr>
        <w:t>(3), 299–312.</w:t>
      </w:r>
    </w:p>
    <w:p w14:paraId="03B59271" w14:textId="0E4114C1" w:rsidR="00072D0B" w:rsidRPr="00060A7D" w:rsidRDefault="00072D0B" w:rsidP="00060A7D">
      <w:pPr>
        <w:widowControl w:val="0"/>
        <w:autoSpaceDE w:val="0"/>
        <w:autoSpaceDN w:val="0"/>
        <w:adjustRightInd w:val="0"/>
        <w:spacing w:after="0" w:line="360" w:lineRule="auto"/>
        <w:ind w:left="851" w:hanging="851"/>
        <w:jc w:val="both"/>
        <w:rPr>
          <w:rFonts w:ascii="Garamond" w:hAnsi="Garamond" w:cs="Times New Roman"/>
          <w:noProof/>
          <w:sz w:val="24"/>
          <w:szCs w:val="24"/>
        </w:rPr>
      </w:pPr>
      <w:r w:rsidRPr="00060A7D">
        <w:rPr>
          <w:rFonts w:ascii="Garamond" w:hAnsi="Garamond" w:cs="Times New Roman"/>
          <w:noProof/>
          <w:sz w:val="24"/>
          <w:szCs w:val="24"/>
        </w:rPr>
        <w:t xml:space="preserve">Widayani, H. (2020). Neomodernisme Islam dalam Perspektif Fazlur Rahman. </w:t>
      </w:r>
      <w:r w:rsidRPr="00060A7D">
        <w:rPr>
          <w:rFonts w:ascii="Garamond" w:hAnsi="Garamond" w:cs="Times New Roman"/>
          <w:i/>
          <w:iCs/>
          <w:noProof/>
          <w:sz w:val="24"/>
          <w:szCs w:val="24"/>
        </w:rPr>
        <w:t>El-Afkar: Jurnal Pemikiran Keislaman dan Tafsir Hadis</w:t>
      </w:r>
      <w:r w:rsidRPr="00060A7D">
        <w:rPr>
          <w:rFonts w:ascii="Garamond" w:hAnsi="Garamond" w:cs="Times New Roman"/>
          <w:noProof/>
          <w:sz w:val="24"/>
          <w:szCs w:val="24"/>
        </w:rPr>
        <w:t xml:space="preserve">, </w:t>
      </w:r>
      <w:r w:rsidRPr="00060A7D">
        <w:rPr>
          <w:rFonts w:ascii="Garamond" w:hAnsi="Garamond" w:cs="Times New Roman"/>
          <w:i/>
          <w:iCs/>
          <w:noProof/>
          <w:sz w:val="24"/>
          <w:szCs w:val="24"/>
        </w:rPr>
        <w:t>9</w:t>
      </w:r>
      <w:r w:rsidRPr="00060A7D">
        <w:rPr>
          <w:rFonts w:ascii="Garamond" w:hAnsi="Garamond" w:cs="Times New Roman"/>
          <w:noProof/>
          <w:sz w:val="24"/>
          <w:szCs w:val="24"/>
        </w:rPr>
        <w:t xml:space="preserve">(1), 85. </w:t>
      </w:r>
    </w:p>
    <w:p w14:paraId="67BF9C44" w14:textId="71C5EF46" w:rsidR="00072D0B" w:rsidRPr="00060A7D" w:rsidRDefault="00072D0B" w:rsidP="00060A7D">
      <w:pPr>
        <w:widowControl w:val="0"/>
        <w:autoSpaceDE w:val="0"/>
        <w:autoSpaceDN w:val="0"/>
        <w:adjustRightInd w:val="0"/>
        <w:spacing w:after="0" w:line="360" w:lineRule="auto"/>
        <w:ind w:left="851" w:hanging="851"/>
        <w:jc w:val="both"/>
        <w:rPr>
          <w:rFonts w:ascii="Garamond" w:hAnsi="Garamond" w:cs="Times New Roman"/>
          <w:noProof/>
          <w:sz w:val="24"/>
          <w:szCs w:val="24"/>
        </w:rPr>
      </w:pPr>
      <w:r w:rsidRPr="00060A7D">
        <w:rPr>
          <w:rFonts w:ascii="Garamond" w:hAnsi="Garamond" w:cs="Times New Roman"/>
          <w:noProof/>
          <w:sz w:val="24"/>
          <w:szCs w:val="24"/>
        </w:rPr>
        <w:t xml:space="preserve">Yusuf, M., Nahdhiyah, N., &amp; Sadat, A. (2021). Fazlur Rahman’s Double Movement and It’s </w:t>
      </w:r>
      <w:r w:rsidRPr="00060A7D">
        <w:rPr>
          <w:rFonts w:ascii="Garamond" w:hAnsi="Garamond" w:cs="Times New Roman"/>
          <w:noProof/>
          <w:sz w:val="24"/>
          <w:szCs w:val="24"/>
        </w:rPr>
        <w:lastRenderedPageBreak/>
        <w:t xml:space="preserve">Contribution to the Development of Religious Moderation. </w:t>
      </w:r>
      <w:r w:rsidRPr="00060A7D">
        <w:rPr>
          <w:rFonts w:ascii="Garamond" w:hAnsi="Garamond" w:cs="Times New Roman"/>
          <w:i/>
          <w:iCs/>
          <w:noProof/>
          <w:sz w:val="24"/>
          <w:szCs w:val="24"/>
        </w:rPr>
        <w:t>IJISH (International Journal of Islamic Studies and Humanities)</w:t>
      </w:r>
      <w:r w:rsidRPr="00060A7D">
        <w:rPr>
          <w:rFonts w:ascii="Garamond" w:hAnsi="Garamond" w:cs="Times New Roman"/>
          <w:noProof/>
          <w:sz w:val="24"/>
          <w:szCs w:val="24"/>
        </w:rPr>
        <w:t xml:space="preserve">, </w:t>
      </w:r>
      <w:r w:rsidRPr="00060A7D">
        <w:rPr>
          <w:rFonts w:ascii="Garamond" w:hAnsi="Garamond" w:cs="Times New Roman"/>
          <w:i/>
          <w:iCs/>
          <w:noProof/>
          <w:sz w:val="24"/>
          <w:szCs w:val="24"/>
        </w:rPr>
        <w:t>4</w:t>
      </w:r>
      <w:r w:rsidRPr="00060A7D">
        <w:rPr>
          <w:rFonts w:ascii="Garamond" w:hAnsi="Garamond" w:cs="Times New Roman"/>
          <w:noProof/>
          <w:sz w:val="24"/>
          <w:szCs w:val="24"/>
        </w:rPr>
        <w:t xml:space="preserve">(1), 51–71. </w:t>
      </w:r>
    </w:p>
    <w:p w14:paraId="3CDAC4C7" w14:textId="5179555A" w:rsidR="00072D0B" w:rsidRPr="00060A7D" w:rsidRDefault="00072D0B" w:rsidP="00060A7D">
      <w:pPr>
        <w:widowControl w:val="0"/>
        <w:autoSpaceDE w:val="0"/>
        <w:autoSpaceDN w:val="0"/>
        <w:adjustRightInd w:val="0"/>
        <w:spacing w:after="0" w:line="360" w:lineRule="auto"/>
        <w:ind w:left="851" w:hanging="851"/>
        <w:jc w:val="both"/>
        <w:rPr>
          <w:rFonts w:ascii="Garamond" w:hAnsi="Garamond"/>
          <w:noProof/>
          <w:sz w:val="24"/>
          <w:szCs w:val="24"/>
        </w:rPr>
      </w:pPr>
      <w:r w:rsidRPr="00060A7D">
        <w:rPr>
          <w:rFonts w:ascii="Garamond" w:hAnsi="Garamond" w:cs="Times New Roman"/>
          <w:noProof/>
          <w:sz w:val="24"/>
          <w:szCs w:val="24"/>
        </w:rPr>
        <w:t xml:space="preserve">Zahwa, A., Saputra, D., &amp; Ritonga, M. J. (2025). Telaah Pemikiran Fazlur Rahman. </w:t>
      </w:r>
      <w:r w:rsidRPr="00060A7D">
        <w:rPr>
          <w:rFonts w:ascii="Garamond" w:hAnsi="Garamond" w:cs="Times New Roman"/>
          <w:i/>
          <w:iCs/>
          <w:noProof/>
          <w:sz w:val="24"/>
          <w:szCs w:val="24"/>
        </w:rPr>
        <w:t>Tashdiq: Jurnal Kajian Agama dan Dakwah</w:t>
      </w:r>
      <w:r w:rsidRPr="00060A7D">
        <w:rPr>
          <w:rFonts w:ascii="Garamond" w:hAnsi="Garamond" w:cs="Times New Roman"/>
          <w:noProof/>
          <w:sz w:val="24"/>
          <w:szCs w:val="24"/>
        </w:rPr>
        <w:t xml:space="preserve">, </w:t>
      </w:r>
      <w:r w:rsidRPr="00060A7D">
        <w:rPr>
          <w:rFonts w:ascii="Garamond" w:hAnsi="Garamond" w:cs="Times New Roman"/>
          <w:i/>
          <w:iCs/>
          <w:noProof/>
          <w:sz w:val="24"/>
          <w:szCs w:val="24"/>
        </w:rPr>
        <w:t>14</w:t>
      </w:r>
      <w:r w:rsidRPr="00060A7D">
        <w:rPr>
          <w:rFonts w:ascii="Garamond" w:hAnsi="Garamond" w:cs="Times New Roman"/>
          <w:noProof/>
          <w:sz w:val="24"/>
          <w:szCs w:val="24"/>
        </w:rPr>
        <w:t xml:space="preserve">(5), 161–170. </w:t>
      </w:r>
    </w:p>
    <w:p w14:paraId="3EE25B97" w14:textId="6A3F1430" w:rsidR="00BD3F63" w:rsidRPr="00060A7D" w:rsidRDefault="00EC1D80" w:rsidP="00060A7D">
      <w:pPr>
        <w:spacing w:after="0" w:line="360" w:lineRule="auto"/>
        <w:ind w:left="851" w:hanging="851"/>
        <w:jc w:val="both"/>
        <w:rPr>
          <w:rFonts w:ascii="Garamond" w:eastAsia="Garamond" w:hAnsi="Garamond" w:cs="Garamond"/>
          <w:sz w:val="24"/>
          <w:szCs w:val="24"/>
        </w:rPr>
      </w:pPr>
      <w:r w:rsidRPr="00060A7D">
        <w:rPr>
          <w:rFonts w:ascii="Garamond" w:eastAsia="Garamond" w:hAnsi="Garamond" w:cs="Garamond"/>
          <w:sz w:val="24"/>
          <w:szCs w:val="24"/>
        </w:rPr>
        <w:fldChar w:fldCharType="end"/>
      </w:r>
    </w:p>
    <w:sectPr w:rsidR="00BD3F63" w:rsidRPr="00060A7D" w:rsidSect="00FA0D15">
      <w:headerReference w:type="default" r:id="rId18"/>
      <w:pgSz w:w="11907" w:h="16840"/>
      <w:pgMar w:top="1701" w:right="1701" w:bottom="1701" w:left="1701" w:header="510" w:footer="1021" w:gutter="0"/>
      <w:pgNumType w:start="11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B8F1A" w14:textId="77777777" w:rsidR="0047010D" w:rsidRDefault="0047010D">
      <w:pPr>
        <w:spacing w:after="0" w:line="240" w:lineRule="auto"/>
      </w:pPr>
      <w:r>
        <w:separator/>
      </w:r>
    </w:p>
  </w:endnote>
  <w:endnote w:type="continuationSeparator" w:id="0">
    <w:p w14:paraId="35A65CC0" w14:textId="77777777" w:rsidR="0047010D" w:rsidRDefault="004701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BB3FA478-D1DF-7F48-9421-4A1628A4DC27}"/>
    <w:embedBold r:id="rId2" w:fontKey="{5324DD2F-800D-C947-B331-0DA28D4BAEB9}"/>
    <w:embedItalic r:id="rId3" w:fontKey="{AF2E05F9-D704-2346-B10E-C52F7F8CF7AE}"/>
    <w:embedBoldItalic r:id="rId4" w:fontKey="{257A772D-9409-324F-8300-1AAD23A03DCE}"/>
  </w:font>
  <w:font w:name="Courier New">
    <w:panose1 w:val="02070309020205020404"/>
    <w:charset w:val="00"/>
    <w:family w:val="modern"/>
    <w:pitch w:val="fixed"/>
    <w:sig w:usb0="E0002EFF" w:usb1="C0007843" w:usb2="00000009" w:usb3="00000000" w:csb0="000001FF" w:csb1="00000000"/>
    <w:embedRegular r:id="rId5" w:fontKey="{B09B0ECC-A3ED-654D-9217-3EC4B0918C11}"/>
  </w:font>
  <w:font w:name="Noto Sans Symbols">
    <w:panose1 w:val="020B0604020202020204"/>
    <w:charset w:val="00"/>
    <w:family w:val="auto"/>
    <w:pitch w:val="default"/>
    <w:embedRegular r:id="rId6" w:fontKey="{250642B7-DCD1-2649-BE85-ACC0982F8048}"/>
  </w:font>
  <w:font w:name="Calibri">
    <w:panose1 w:val="020F0502020204030204"/>
    <w:charset w:val="00"/>
    <w:family w:val="swiss"/>
    <w:pitch w:val="variable"/>
    <w:sig w:usb0="E4002EFF" w:usb1="C000247B" w:usb2="00000009" w:usb3="00000000" w:csb0="000001FF" w:csb1="00000000"/>
    <w:embedRegular r:id="rId7" w:fontKey="{18F941C2-7655-DF41-9B71-271F769DEE02}"/>
    <w:embedBold r:id="rId8" w:fontKey="{74F7D814-E3E5-E44D-B070-1A2055A59306}"/>
    <w:embedItalic r:id="rId9" w:fontKey="{BAB32261-9D5E-2145-95BC-E05BD89F8607}"/>
    <w:embedBoldItalic r:id="rId10" w:fontKey="{4ED5EC84-6C60-8F48-9921-7183E8AE0EF9}"/>
  </w:font>
  <w:font w:name="Garamond">
    <w:panose1 w:val="02020404030301010803"/>
    <w:charset w:val="00"/>
    <w:family w:val="roman"/>
    <w:pitch w:val="variable"/>
    <w:sig w:usb0="00000287" w:usb1="00000002" w:usb2="00000000" w:usb3="00000000" w:csb0="0000009F" w:csb1="00000000"/>
    <w:embedRegular r:id="rId11" w:fontKey="{3008EFF4-4EED-7040-8E8D-DF93F92CD24F}"/>
    <w:embedBold r:id="rId12" w:fontKey="{E69B4366-B5D2-1E48-B0F0-42DF8B7A7FC5}"/>
    <w:embedItalic r:id="rId13" w:fontKey="{6DED0840-05CB-284E-955F-60F62E45F8CD}"/>
    <w:embedBoldItalic r:id="rId14" w:fontKey="{7CC89236-DDBB-2D4E-9CE2-DC47CC572524}"/>
  </w:font>
  <w:font w:name="Tahoma">
    <w:panose1 w:val="020B0604030504040204"/>
    <w:charset w:val="00"/>
    <w:family w:val="swiss"/>
    <w:pitch w:val="variable"/>
    <w:sig w:usb0="E1002EFF" w:usb1="C000605B" w:usb2="00000029" w:usb3="00000000" w:csb0="000101FF" w:csb1="00000000"/>
    <w:embedRegular r:id="rId15" w:fontKey="{866243DB-7EB4-0E4A-AFB4-9E8253BA4900}"/>
  </w:font>
  <w:font w:name="Georgia">
    <w:panose1 w:val="02040502050405020303"/>
    <w:charset w:val="00"/>
    <w:family w:val="roman"/>
    <w:pitch w:val="variable"/>
    <w:sig w:usb0="00000287" w:usb1="00000000" w:usb2="00000000" w:usb3="00000000" w:csb0="0000009F" w:csb1="00000000"/>
    <w:embedRegular r:id="rId16" w:fontKey="{59F93D25-80AF-E048-86D2-6E460BEB65AA}"/>
    <w:embedItalic r:id="rId17" w:fontKey="{BABC6CEF-8A9B-F64B-BE46-4DD12B4A9801}"/>
  </w:font>
  <w:font w:name="Arial">
    <w:panose1 w:val="020B0604020202020204"/>
    <w:charset w:val="00"/>
    <w:family w:val="swiss"/>
    <w:pitch w:val="variable"/>
    <w:sig w:usb0="E0002EFF" w:usb1="C000785B" w:usb2="00000009" w:usb3="00000000" w:csb0="000001FF" w:csb1="00000000"/>
    <w:embedRegular r:id="rId18" w:fontKey="{12A9FAB2-ED24-1D46-B6CD-A313A2B96B47}"/>
    <w:embedBold r:id="rId19" w:fontKey="{BBFCE2DB-9DDC-A243-8CE8-18BB03AB47A4}"/>
    <w:embedItalic r:id="rId20" w:fontKey="{5C98020A-0F8D-E24E-8050-1DEAB711B1F8}"/>
  </w:font>
  <w:font w:name="Apple Chancery">
    <w:altName w:val="APPLE CHANCERY"/>
    <w:panose1 w:val="03020702040506060504"/>
    <w:charset w:val="B1"/>
    <w:family w:val="script"/>
    <w:pitch w:val="variable"/>
    <w:sig w:usb0="80000867" w:usb1="00000003" w:usb2="00000000" w:usb3="00000000" w:csb0="000001F3" w:csb1="00000000"/>
    <w:embedBold r:id="rId22" w:fontKey="{52938DEC-1A4D-8845-9410-3CD35C8BD2C6}"/>
  </w:font>
  <w:font w:name="__omar_Fallback_6952f9">
    <w:altName w:val="Cambria"/>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embedRegular r:id="rId24" w:fontKey="{16E66666-D08F-A24B-9BD0-B9EB98934C0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4113881"/>
      <w:docPartObj>
        <w:docPartGallery w:val="Page Numbers (Bottom of Page)"/>
        <w:docPartUnique/>
      </w:docPartObj>
    </w:sdtPr>
    <w:sdtContent>
      <w:p w14:paraId="549B2A89" w14:textId="67FABEAC" w:rsidR="00BA2585" w:rsidRDefault="00BA2585" w:rsidP="00FC0FE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108</w:t>
        </w:r>
        <w:r>
          <w:rPr>
            <w:rStyle w:val="PageNumber"/>
          </w:rPr>
          <w:fldChar w:fldCharType="end"/>
        </w:r>
      </w:p>
    </w:sdtContent>
  </w:sdt>
  <w:p w14:paraId="4C2C5496" w14:textId="77777777" w:rsidR="00BD3F63" w:rsidRDefault="00BD3F63" w:rsidP="00BA2585">
    <w:pPr>
      <w:pBdr>
        <w:top w:val="nil"/>
        <w:left w:val="nil"/>
        <w:bottom w:val="nil"/>
        <w:right w:val="nil"/>
        <w:between w:val="nil"/>
      </w:pBdr>
      <w:tabs>
        <w:tab w:val="center" w:pos="4513"/>
        <w:tab w:val="right" w:pos="9026"/>
      </w:tabs>
      <w:spacing w:after="0" w:line="240" w:lineRule="auto"/>
      <w:ind w:right="360"/>
      <w:rPr>
        <w:rFonts w:eastAsia="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Garamond" w:hAnsi="Garamond"/>
      </w:rPr>
      <w:id w:val="-930040160"/>
      <w:docPartObj>
        <w:docPartGallery w:val="Page Numbers (Bottom of Page)"/>
        <w:docPartUnique/>
      </w:docPartObj>
    </w:sdtPr>
    <w:sdtContent>
      <w:p w14:paraId="56FCD16B" w14:textId="12A464D6" w:rsidR="00BA2585" w:rsidRPr="00BA2585" w:rsidRDefault="00BA2585" w:rsidP="00FC0FEE">
        <w:pPr>
          <w:pStyle w:val="Footer"/>
          <w:framePr w:wrap="none" w:vAnchor="text" w:hAnchor="margin" w:xAlign="right" w:y="1"/>
          <w:rPr>
            <w:rStyle w:val="PageNumber"/>
            <w:rFonts w:ascii="Garamond" w:hAnsi="Garamond"/>
          </w:rPr>
        </w:pPr>
        <w:r w:rsidRPr="00BA2585">
          <w:rPr>
            <w:rStyle w:val="PageNumber"/>
            <w:rFonts w:ascii="Garamond" w:hAnsi="Garamond"/>
          </w:rPr>
          <w:fldChar w:fldCharType="begin"/>
        </w:r>
        <w:r w:rsidRPr="00BA2585">
          <w:rPr>
            <w:rStyle w:val="PageNumber"/>
            <w:rFonts w:ascii="Garamond" w:hAnsi="Garamond"/>
          </w:rPr>
          <w:instrText xml:space="preserve"> PAGE </w:instrText>
        </w:r>
        <w:r w:rsidRPr="00BA2585">
          <w:rPr>
            <w:rStyle w:val="PageNumber"/>
            <w:rFonts w:ascii="Garamond" w:hAnsi="Garamond"/>
          </w:rPr>
          <w:fldChar w:fldCharType="separate"/>
        </w:r>
        <w:r w:rsidRPr="00BA2585">
          <w:rPr>
            <w:rStyle w:val="PageNumber"/>
            <w:rFonts w:ascii="Garamond" w:hAnsi="Garamond"/>
            <w:noProof/>
          </w:rPr>
          <w:t>95</w:t>
        </w:r>
        <w:r w:rsidRPr="00BA2585">
          <w:rPr>
            <w:rStyle w:val="PageNumber"/>
            <w:rFonts w:ascii="Garamond" w:hAnsi="Garamond"/>
          </w:rPr>
          <w:fldChar w:fldCharType="end"/>
        </w:r>
      </w:p>
    </w:sdtContent>
  </w:sdt>
  <w:p w14:paraId="39038472" w14:textId="77777777" w:rsidR="00BA2585" w:rsidRPr="00BA2585" w:rsidRDefault="00BA2585" w:rsidP="00BA2585">
    <w:pPr>
      <w:pStyle w:val="Footer"/>
      <w:ind w:right="360"/>
      <w:rPr>
        <w:rFonts w:ascii="Garamond" w:hAnsi="Garamon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5111C" w14:textId="77777777" w:rsidR="00BD3F63" w:rsidRDefault="00BD3F63">
    <w:pPr>
      <w:widowControl w:val="0"/>
      <w:pBdr>
        <w:top w:val="nil"/>
        <w:left w:val="nil"/>
        <w:bottom w:val="nil"/>
        <w:right w:val="nil"/>
        <w:between w:val="nil"/>
      </w:pBdr>
      <w:spacing w:after="0"/>
      <w:rPr>
        <w:rFonts w:eastAsia="Calibri"/>
        <w:color w:val="000000"/>
      </w:rPr>
    </w:pPr>
  </w:p>
  <w:tbl>
    <w:tblPr>
      <w:tblStyle w:val="a"/>
      <w:tblW w:w="7128"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6768"/>
      <w:gridCol w:w="360"/>
    </w:tblGrid>
    <w:tr w:rsidR="00BD3F63" w14:paraId="3A0867C8" w14:textId="77777777">
      <w:trPr>
        <w:trHeight w:val="297"/>
      </w:trPr>
      <w:tc>
        <w:tcPr>
          <w:tcW w:w="6768" w:type="dxa"/>
        </w:tcPr>
        <w:p w14:paraId="0DEE423B" w14:textId="77777777" w:rsidR="00BD3F63" w:rsidRDefault="00BD3F63">
          <w:pPr>
            <w:pBdr>
              <w:top w:val="nil"/>
              <w:left w:val="nil"/>
              <w:bottom w:val="nil"/>
              <w:right w:val="nil"/>
              <w:between w:val="nil"/>
            </w:pBdr>
            <w:tabs>
              <w:tab w:val="center" w:pos="4513"/>
              <w:tab w:val="right" w:pos="9026"/>
            </w:tabs>
            <w:rPr>
              <w:rFonts w:ascii="Garamond" w:eastAsia="Garamond" w:hAnsi="Garamond" w:cs="Garamond"/>
              <w:color w:val="000000"/>
              <w:sz w:val="20"/>
              <w:szCs w:val="20"/>
            </w:rPr>
          </w:pPr>
        </w:p>
      </w:tc>
      <w:tc>
        <w:tcPr>
          <w:tcW w:w="360" w:type="dxa"/>
        </w:tcPr>
        <w:p w14:paraId="086F89DC" w14:textId="77777777" w:rsidR="00BD3F63" w:rsidRDefault="00BD3F63">
          <w:pPr>
            <w:jc w:val="right"/>
            <w:rPr>
              <w:rFonts w:ascii="Garamond" w:eastAsia="Garamond" w:hAnsi="Garamond" w:cs="Garamond"/>
              <w:b/>
              <w:i/>
              <w:color w:val="000000"/>
              <w:sz w:val="18"/>
              <w:szCs w:val="18"/>
            </w:rPr>
          </w:pPr>
        </w:p>
      </w:tc>
    </w:tr>
  </w:tbl>
  <w:p w14:paraId="6F823999" w14:textId="77777777" w:rsidR="00BD3F63" w:rsidRDefault="006F1621">
    <w:pPr>
      <w:pBdr>
        <w:top w:val="nil"/>
        <w:left w:val="nil"/>
        <w:bottom w:val="nil"/>
        <w:right w:val="nil"/>
        <w:between w:val="nil"/>
      </w:pBdr>
      <w:tabs>
        <w:tab w:val="center" w:pos="4513"/>
        <w:tab w:val="right" w:pos="9026"/>
      </w:tabs>
      <w:spacing w:after="0" w:line="240" w:lineRule="auto"/>
      <w:rPr>
        <w:rFonts w:ascii="Apple Chancery" w:eastAsia="Apple Chancery" w:hAnsi="Apple Chancery" w:cs="Apple Chancery"/>
        <w:b/>
        <w:color w:val="000000"/>
        <w:sz w:val="20"/>
        <w:szCs w:val="20"/>
      </w:rPr>
    </w:pPr>
    <w:r>
      <w:rPr>
        <w:noProof/>
        <w:lang w:val="en-US" w:eastAsia="en-US"/>
      </w:rPr>
      <mc:AlternateContent>
        <mc:Choice Requires="wps">
          <w:drawing>
            <wp:anchor distT="0" distB="0" distL="114300" distR="114300" simplePos="0" relativeHeight="251658240" behindDoc="0" locked="0" layoutInCell="1" hidden="0" allowOverlap="1" wp14:anchorId="3BF61C5B" wp14:editId="6BAA90D8">
              <wp:simplePos x="0" y="0"/>
              <wp:positionH relativeFrom="column">
                <wp:posOffset>-101599</wp:posOffset>
              </wp:positionH>
              <wp:positionV relativeFrom="paragraph">
                <wp:posOffset>342900</wp:posOffset>
              </wp:positionV>
              <wp:extent cx="4918710" cy="238125"/>
              <wp:effectExtent l="0" t="0" r="0" b="0"/>
              <wp:wrapNone/>
              <wp:docPr id="168" name="Rectangle 168"/>
              <wp:cNvGraphicFramePr/>
              <a:graphic xmlns:a="http://schemas.openxmlformats.org/drawingml/2006/main">
                <a:graphicData uri="http://schemas.microsoft.com/office/word/2010/wordprocessingShape">
                  <wps:wsp>
                    <wps:cNvSpPr/>
                    <wps:spPr>
                      <a:xfrm>
                        <a:off x="2891408" y="3665700"/>
                        <a:ext cx="4909185" cy="228600"/>
                      </a:xfrm>
                      <a:prstGeom prst="rect">
                        <a:avLst/>
                      </a:prstGeom>
                      <a:solidFill>
                        <a:srgbClr val="FFFFFF"/>
                      </a:solidFill>
                      <a:ln>
                        <a:noFill/>
                      </a:ln>
                    </wps:spPr>
                    <wps:txbx>
                      <w:txbxContent>
                        <w:p w14:paraId="0983A635" w14:textId="77777777" w:rsidR="00BD3F63" w:rsidRDefault="00BD3F63">
                          <w:pPr>
                            <w:spacing w:line="275" w:lineRule="auto"/>
                            <w:textDirection w:val="btLr"/>
                          </w:pPr>
                        </w:p>
                        <w:p w14:paraId="1A8BFCEC" w14:textId="77777777" w:rsidR="00BD3F63" w:rsidRDefault="00BD3F63">
                          <w:pPr>
                            <w:spacing w:line="275" w:lineRule="auto"/>
                            <w:ind w:left="-141" w:hanging="141"/>
                            <w:textDirection w:val="btLr"/>
                          </w:pPr>
                        </w:p>
                        <w:p w14:paraId="0772B005" w14:textId="77777777" w:rsidR="00BD3F63" w:rsidRDefault="00BD3F63">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3BF61C5B" id="Rectangle 168" o:spid="_x0000_s1026" style="position:absolute;margin-left:-8pt;margin-top:27pt;width:387.3pt;height:18.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" stroked="f">
              <v:textbox inset="2.53958mm,1.2694mm,2.53958mm,1.2694mm">
                <w:txbxContent>
                  <w:p w14:paraId="0983A635" w14:textId="77777777" w:rsidR="00BD3F63" w:rsidRDefault="00BD3F63">
                    <w:pPr>
                      <w:spacing w:line="275" w:lineRule="auto"/>
                      <w:textDirection w:val="btLr"/>
                    </w:pPr>
                  </w:p>
                  <w:p w14:paraId="1A8BFCEC" w14:textId="77777777" w:rsidR="00BD3F63" w:rsidRDefault="00BD3F63">
                    <w:pPr>
                      <w:spacing w:line="275" w:lineRule="auto"/>
                      <w:ind w:left="-141" w:hanging="141"/>
                      <w:textDirection w:val="btLr"/>
                    </w:pPr>
                  </w:p>
                  <w:p w14:paraId="0772B005" w14:textId="77777777" w:rsidR="00BD3F63" w:rsidRDefault="00BD3F63">
                    <w:pPr>
                      <w:spacing w:line="275" w:lineRule="auto"/>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7BA4E" w14:textId="77777777" w:rsidR="0047010D" w:rsidRDefault="0047010D">
      <w:pPr>
        <w:spacing w:after="0" w:line="240" w:lineRule="auto"/>
      </w:pPr>
      <w:r>
        <w:separator/>
      </w:r>
    </w:p>
  </w:footnote>
  <w:footnote w:type="continuationSeparator" w:id="0">
    <w:p w14:paraId="7AE0048F" w14:textId="77777777" w:rsidR="0047010D" w:rsidRDefault="004701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FE550" w14:textId="77777777" w:rsidR="00BD3F63" w:rsidRDefault="00BD3F63">
    <w:pPr>
      <w:pBdr>
        <w:top w:val="nil"/>
        <w:left w:val="nil"/>
        <w:bottom w:val="nil"/>
        <w:right w:val="nil"/>
        <w:between w:val="nil"/>
      </w:pBdr>
      <w:tabs>
        <w:tab w:val="center" w:pos="4513"/>
        <w:tab w:val="right" w:pos="9026"/>
      </w:tabs>
      <w:spacing w:after="0" w:line="240" w:lineRule="auto"/>
      <w:rPr>
        <w:rFonts w:eastAsia="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5133F" w14:textId="77777777" w:rsidR="00BA2585" w:rsidRDefault="00BA2585" w:rsidP="00BA2585">
    <w:pPr>
      <w:pStyle w:val="NoSpacing"/>
      <w:jc w:val="right"/>
      <w:rPr>
        <w:rFonts w:ascii="Garamond" w:hAnsi="Garamond"/>
      </w:rPr>
    </w:pPr>
  </w:p>
  <w:p w14:paraId="2D831B40" w14:textId="51FA7DB3" w:rsidR="00BA2585" w:rsidRPr="00674FD1" w:rsidRDefault="00BA2585" w:rsidP="00BA2585">
    <w:pPr>
      <w:pStyle w:val="NoSpacing"/>
      <w:jc w:val="right"/>
      <w:rPr>
        <w:rFonts w:ascii="Garamond" w:hAnsi="Garamond"/>
      </w:rPr>
    </w:pPr>
    <w:proofErr w:type="spellStart"/>
    <w:r w:rsidRPr="00674FD1">
      <w:rPr>
        <w:rFonts w:ascii="Garamond" w:hAnsi="Garamond"/>
      </w:rPr>
      <w:t>Takwil</w:t>
    </w:r>
    <w:proofErr w:type="spellEnd"/>
    <w:r w:rsidRPr="00674FD1">
      <w:rPr>
        <w:rFonts w:ascii="Garamond" w:hAnsi="Garamond"/>
      </w:rPr>
      <w:t xml:space="preserve">: Journal of Quran and Hadith Studies </w:t>
    </w:r>
  </w:p>
  <w:p w14:paraId="19B93407" w14:textId="0F608AC8" w:rsidR="00BA2585" w:rsidRPr="00674FD1" w:rsidRDefault="00BA2585" w:rsidP="00BA2585">
    <w:pPr>
      <w:pStyle w:val="NoSpacing"/>
      <w:jc w:val="right"/>
      <w:rPr>
        <w:rFonts w:ascii="Garamond" w:hAnsi="Garamond"/>
      </w:rPr>
    </w:pPr>
    <w:r w:rsidRPr="00674FD1">
      <w:rPr>
        <w:rFonts w:ascii="Garamond" w:hAnsi="Garamond"/>
      </w:rPr>
      <w:t xml:space="preserve">Volume 4 No 1 (2025) </w:t>
    </w:r>
    <w:r w:rsidR="00FA7385">
      <w:rPr>
        <w:rFonts w:ascii="Garamond" w:hAnsi="Garamond"/>
      </w:rPr>
      <w:t>11</w:t>
    </w:r>
    <w:r w:rsidR="00FA0D15">
      <w:rPr>
        <w:rFonts w:ascii="Garamond" w:hAnsi="Garamond"/>
      </w:rPr>
      <w:t>0</w:t>
    </w:r>
    <w:r w:rsidRPr="00674FD1">
      <w:rPr>
        <w:rFonts w:ascii="Garamond" w:hAnsi="Garamond"/>
      </w:rPr>
      <w:t>-</w:t>
    </w:r>
    <w:r>
      <w:rPr>
        <w:rFonts w:ascii="Garamond" w:hAnsi="Garamond"/>
      </w:rPr>
      <w:t>1</w:t>
    </w:r>
    <w:r w:rsidR="00FA7385">
      <w:rPr>
        <w:rFonts w:ascii="Garamond" w:hAnsi="Garamond"/>
      </w:rPr>
      <w:t>2</w:t>
    </w:r>
    <w:r w:rsidR="00FA0D15">
      <w:rPr>
        <w:rFonts w:ascii="Garamond" w:hAnsi="Garamond"/>
      </w:rPr>
      <w:t>5</w:t>
    </w:r>
    <w:r w:rsidRPr="00674FD1">
      <w:rPr>
        <w:rFonts w:ascii="Garamond" w:hAnsi="Garamond"/>
      </w:rPr>
      <w:t xml:space="preserve"> </w:t>
    </w:r>
  </w:p>
  <w:p w14:paraId="710DB8D9" w14:textId="77777777" w:rsidR="00BA2585" w:rsidRPr="00674FD1" w:rsidRDefault="00BA2585" w:rsidP="00BA2585">
    <w:pPr>
      <w:pStyle w:val="NoSpacing"/>
      <w:jc w:val="right"/>
      <w:rPr>
        <w:rFonts w:ascii="Garamond" w:eastAsia="Calibri" w:hAnsi="Garamond"/>
        <w:color w:val="000000"/>
      </w:rPr>
    </w:pPr>
    <w:r w:rsidRPr="00674FD1">
      <w:rPr>
        <w:rFonts w:ascii="Garamond" w:hAnsi="Garamond"/>
      </w:rPr>
      <w:t>https://ejournal.iainkerinci.ac.id/index.php/takwil/index</w:t>
    </w:r>
  </w:p>
  <w:p w14:paraId="0122D32A" w14:textId="77777777" w:rsidR="00BD3F63" w:rsidRDefault="00BD3F63">
    <w:pPr>
      <w:pBdr>
        <w:top w:val="nil"/>
        <w:left w:val="nil"/>
        <w:bottom w:val="nil"/>
        <w:right w:val="nil"/>
        <w:between w:val="nil"/>
      </w:pBdr>
      <w:tabs>
        <w:tab w:val="center" w:pos="4513"/>
        <w:tab w:val="right" w:pos="9026"/>
      </w:tabs>
      <w:spacing w:after="0" w:line="240" w:lineRule="auto"/>
      <w:rPr>
        <w:rFonts w:eastAsia="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B1004" w14:textId="77777777" w:rsidR="00BA2585" w:rsidRPr="00674FD1" w:rsidRDefault="00BA2585" w:rsidP="00BA2585">
    <w:pPr>
      <w:pStyle w:val="NoSpacing"/>
      <w:jc w:val="right"/>
      <w:rPr>
        <w:rFonts w:ascii="Garamond" w:hAnsi="Garamond"/>
      </w:rPr>
    </w:pPr>
    <w:proofErr w:type="spellStart"/>
    <w:r w:rsidRPr="00674FD1">
      <w:rPr>
        <w:rFonts w:ascii="Garamond" w:hAnsi="Garamond"/>
      </w:rPr>
      <w:t>Takwil</w:t>
    </w:r>
    <w:proofErr w:type="spellEnd"/>
    <w:r w:rsidRPr="00674FD1">
      <w:rPr>
        <w:rFonts w:ascii="Garamond" w:hAnsi="Garamond"/>
      </w:rPr>
      <w:t xml:space="preserve">: Journal of Quran and Hadith Studies </w:t>
    </w:r>
  </w:p>
  <w:p w14:paraId="0D12344F" w14:textId="77777777" w:rsidR="00BA2585" w:rsidRPr="00674FD1" w:rsidRDefault="00BA2585" w:rsidP="00BA2585">
    <w:pPr>
      <w:pStyle w:val="NoSpacing"/>
      <w:jc w:val="right"/>
      <w:rPr>
        <w:rFonts w:ascii="Garamond" w:hAnsi="Garamond"/>
      </w:rPr>
    </w:pPr>
    <w:r w:rsidRPr="00674FD1">
      <w:rPr>
        <w:rFonts w:ascii="Garamond" w:hAnsi="Garamond"/>
      </w:rPr>
      <w:t xml:space="preserve">Volume 4 No 1 (2025) </w:t>
    </w:r>
    <w:r>
      <w:rPr>
        <w:rFonts w:ascii="Garamond" w:hAnsi="Garamond"/>
      </w:rPr>
      <w:t>73</w:t>
    </w:r>
    <w:r w:rsidRPr="00674FD1">
      <w:rPr>
        <w:rFonts w:ascii="Garamond" w:hAnsi="Garamond"/>
      </w:rPr>
      <w:t>-</w:t>
    </w:r>
    <w:r>
      <w:rPr>
        <w:rFonts w:ascii="Garamond" w:hAnsi="Garamond"/>
      </w:rPr>
      <w:t>9</w:t>
    </w:r>
    <w:r w:rsidRPr="00674FD1">
      <w:rPr>
        <w:rFonts w:ascii="Garamond" w:hAnsi="Garamond"/>
      </w:rPr>
      <w:t xml:space="preserve">3 </w:t>
    </w:r>
  </w:p>
  <w:p w14:paraId="0E6D7FC9" w14:textId="77777777" w:rsidR="00BA2585" w:rsidRPr="00674FD1" w:rsidRDefault="00BA2585" w:rsidP="00BA2585">
    <w:pPr>
      <w:pStyle w:val="NoSpacing"/>
      <w:jc w:val="right"/>
      <w:rPr>
        <w:rFonts w:ascii="Garamond" w:eastAsia="Calibri" w:hAnsi="Garamond"/>
        <w:color w:val="000000"/>
      </w:rPr>
    </w:pPr>
    <w:r w:rsidRPr="00674FD1">
      <w:rPr>
        <w:rFonts w:ascii="Garamond" w:hAnsi="Garamond"/>
      </w:rPr>
      <w:t>https://ejournal.iainkerinci.ac.id/index.php/takwil/index</w:t>
    </w:r>
  </w:p>
  <w:p w14:paraId="6C5F7DD2" w14:textId="77777777" w:rsidR="00BD3F63" w:rsidRDefault="00BD3F63">
    <w:pPr>
      <w:pBdr>
        <w:top w:val="nil"/>
        <w:left w:val="nil"/>
        <w:bottom w:val="nil"/>
        <w:right w:val="nil"/>
        <w:between w:val="nil"/>
      </w:pBdr>
      <w:tabs>
        <w:tab w:val="center" w:pos="4513"/>
        <w:tab w:val="right" w:pos="9026"/>
      </w:tabs>
      <w:spacing w:after="0" w:line="240" w:lineRule="auto"/>
      <w:rPr>
        <w:rFonts w:eastAsia="Calibri"/>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92402" w14:textId="77777777" w:rsidR="00BA2585" w:rsidRDefault="00BA2585" w:rsidP="00BA2585">
    <w:pPr>
      <w:pStyle w:val="NoSpacing"/>
      <w:jc w:val="right"/>
      <w:rPr>
        <w:rFonts w:ascii="Garamond" w:hAnsi="Garamond"/>
      </w:rPr>
    </w:pPr>
  </w:p>
  <w:p w14:paraId="3A5E62A1" w14:textId="3DE4E5D1" w:rsidR="00BA2585" w:rsidRPr="00BA2585" w:rsidRDefault="00BA2585" w:rsidP="00BA2585">
    <w:pPr>
      <w:pBdr>
        <w:top w:val="nil"/>
        <w:left w:val="nil"/>
        <w:bottom w:val="nil"/>
        <w:right w:val="nil"/>
        <w:between w:val="nil"/>
      </w:pBdr>
      <w:tabs>
        <w:tab w:val="center" w:pos="4513"/>
        <w:tab w:val="right" w:pos="9026"/>
      </w:tabs>
      <w:spacing w:after="0" w:line="240" w:lineRule="auto"/>
      <w:jc w:val="right"/>
      <w:rPr>
        <w:rFonts w:eastAsia="Calibri"/>
        <w:bCs/>
        <w:color w:val="000000"/>
      </w:rPr>
    </w:pPr>
    <w:r w:rsidRPr="00BA2585">
      <w:rPr>
        <w:rFonts w:ascii="Garamond" w:eastAsia="Garamond" w:hAnsi="Garamond" w:cs="Garamond"/>
        <w:bCs/>
        <w:color w:val="000000"/>
      </w:rPr>
      <w:t>Putra Pandu Dinata Nurdiansyah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F68AE"/>
    <w:multiLevelType w:val="hybridMultilevel"/>
    <w:tmpl w:val="4BB4B6B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6FA3333"/>
    <w:multiLevelType w:val="hybridMultilevel"/>
    <w:tmpl w:val="B7E0BD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35D0B6B"/>
    <w:multiLevelType w:val="multilevel"/>
    <w:tmpl w:val="859C53B6"/>
    <w:lvl w:ilvl="0">
      <w:start w:val="1"/>
      <w:numFmt w:val="bullet"/>
      <w:lvlText w:val="-"/>
      <w:lvlJc w:val="left"/>
      <w:pPr>
        <w:ind w:left="359" w:hanging="360"/>
      </w:pPr>
      <w:rPr>
        <w:rFonts w:ascii="Times New Roman" w:eastAsia="Times New Roman" w:hAnsi="Times New Roman" w:cs="Times New Roman"/>
      </w:rPr>
    </w:lvl>
    <w:lvl w:ilvl="1">
      <w:start w:val="1"/>
      <w:numFmt w:val="bullet"/>
      <w:lvlText w:val="o"/>
      <w:lvlJc w:val="left"/>
      <w:pPr>
        <w:ind w:left="1079" w:hanging="360"/>
      </w:pPr>
      <w:rPr>
        <w:rFonts w:ascii="Courier New" w:eastAsia="Courier New" w:hAnsi="Courier New" w:cs="Courier New"/>
      </w:rPr>
    </w:lvl>
    <w:lvl w:ilvl="2">
      <w:start w:val="1"/>
      <w:numFmt w:val="bullet"/>
      <w:lvlText w:val="▪"/>
      <w:lvlJc w:val="left"/>
      <w:pPr>
        <w:ind w:left="1799" w:hanging="360"/>
      </w:pPr>
      <w:rPr>
        <w:rFonts w:ascii="Noto Sans Symbols" w:eastAsia="Noto Sans Symbols" w:hAnsi="Noto Sans Symbols" w:cs="Noto Sans Symbols"/>
      </w:rPr>
    </w:lvl>
    <w:lvl w:ilvl="3">
      <w:start w:val="1"/>
      <w:numFmt w:val="bullet"/>
      <w:lvlText w:val="●"/>
      <w:lvlJc w:val="left"/>
      <w:pPr>
        <w:ind w:left="2519" w:hanging="360"/>
      </w:pPr>
      <w:rPr>
        <w:rFonts w:ascii="Noto Sans Symbols" w:eastAsia="Noto Sans Symbols" w:hAnsi="Noto Sans Symbols" w:cs="Noto Sans Symbols"/>
      </w:rPr>
    </w:lvl>
    <w:lvl w:ilvl="4">
      <w:start w:val="1"/>
      <w:numFmt w:val="bullet"/>
      <w:lvlText w:val="o"/>
      <w:lvlJc w:val="left"/>
      <w:pPr>
        <w:ind w:left="3239" w:hanging="360"/>
      </w:pPr>
      <w:rPr>
        <w:rFonts w:ascii="Courier New" w:eastAsia="Courier New" w:hAnsi="Courier New" w:cs="Courier New"/>
      </w:rPr>
    </w:lvl>
    <w:lvl w:ilvl="5">
      <w:start w:val="1"/>
      <w:numFmt w:val="bullet"/>
      <w:lvlText w:val="▪"/>
      <w:lvlJc w:val="left"/>
      <w:pPr>
        <w:ind w:left="3959" w:hanging="360"/>
      </w:pPr>
      <w:rPr>
        <w:rFonts w:ascii="Noto Sans Symbols" w:eastAsia="Noto Sans Symbols" w:hAnsi="Noto Sans Symbols" w:cs="Noto Sans Symbols"/>
      </w:rPr>
    </w:lvl>
    <w:lvl w:ilvl="6">
      <w:start w:val="1"/>
      <w:numFmt w:val="bullet"/>
      <w:lvlText w:val="●"/>
      <w:lvlJc w:val="left"/>
      <w:pPr>
        <w:ind w:left="4679" w:hanging="360"/>
      </w:pPr>
      <w:rPr>
        <w:rFonts w:ascii="Noto Sans Symbols" w:eastAsia="Noto Sans Symbols" w:hAnsi="Noto Sans Symbols" w:cs="Noto Sans Symbols"/>
      </w:rPr>
    </w:lvl>
    <w:lvl w:ilvl="7">
      <w:start w:val="1"/>
      <w:numFmt w:val="bullet"/>
      <w:lvlText w:val="o"/>
      <w:lvlJc w:val="left"/>
      <w:pPr>
        <w:ind w:left="5399" w:hanging="360"/>
      </w:pPr>
      <w:rPr>
        <w:rFonts w:ascii="Courier New" w:eastAsia="Courier New" w:hAnsi="Courier New" w:cs="Courier New"/>
      </w:rPr>
    </w:lvl>
    <w:lvl w:ilvl="8">
      <w:start w:val="1"/>
      <w:numFmt w:val="bullet"/>
      <w:lvlText w:val="▪"/>
      <w:lvlJc w:val="left"/>
      <w:pPr>
        <w:ind w:left="6119" w:hanging="360"/>
      </w:pPr>
      <w:rPr>
        <w:rFonts w:ascii="Noto Sans Symbols" w:eastAsia="Noto Sans Symbols" w:hAnsi="Noto Sans Symbols" w:cs="Noto Sans Symbols"/>
      </w:rPr>
    </w:lvl>
  </w:abstractNum>
  <w:num w:numId="1" w16cid:durableId="1170636455">
    <w:abstractNumId w:val="2"/>
  </w:num>
  <w:num w:numId="2" w16cid:durableId="8216551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184765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F63"/>
    <w:rsid w:val="0001460E"/>
    <w:rsid w:val="00060A7D"/>
    <w:rsid w:val="00072D0B"/>
    <w:rsid w:val="00080AA4"/>
    <w:rsid w:val="0008353B"/>
    <w:rsid w:val="00085AD8"/>
    <w:rsid w:val="000937AF"/>
    <w:rsid w:val="000971CB"/>
    <w:rsid w:val="000A5579"/>
    <w:rsid w:val="00136717"/>
    <w:rsid w:val="001B33F3"/>
    <w:rsid w:val="001C18E1"/>
    <w:rsid w:val="001C7635"/>
    <w:rsid w:val="001F14A8"/>
    <w:rsid w:val="0023744A"/>
    <w:rsid w:val="00273077"/>
    <w:rsid w:val="00282DC2"/>
    <w:rsid w:val="00282FE7"/>
    <w:rsid w:val="002C49B1"/>
    <w:rsid w:val="002E681E"/>
    <w:rsid w:val="002E70CA"/>
    <w:rsid w:val="003114CD"/>
    <w:rsid w:val="0031507B"/>
    <w:rsid w:val="00326E00"/>
    <w:rsid w:val="003A0461"/>
    <w:rsid w:val="003A3FB8"/>
    <w:rsid w:val="003B5E10"/>
    <w:rsid w:val="0047010D"/>
    <w:rsid w:val="004719AA"/>
    <w:rsid w:val="004A3675"/>
    <w:rsid w:val="004C5F21"/>
    <w:rsid w:val="004D62DD"/>
    <w:rsid w:val="00506F0F"/>
    <w:rsid w:val="00532C69"/>
    <w:rsid w:val="0055410E"/>
    <w:rsid w:val="00582DD2"/>
    <w:rsid w:val="00595B54"/>
    <w:rsid w:val="005C5DC7"/>
    <w:rsid w:val="00641B9E"/>
    <w:rsid w:val="006B3180"/>
    <w:rsid w:val="006E5C59"/>
    <w:rsid w:val="006F1621"/>
    <w:rsid w:val="006F75BA"/>
    <w:rsid w:val="007334F9"/>
    <w:rsid w:val="00773A32"/>
    <w:rsid w:val="00845BDA"/>
    <w:rsid w:val="00854B21"/>
    <w:rsid w:val="00861D15"/>
    <w:rsid w:val="0088547B"/>
    <w:rsid w:val="008D25A0"/>
    <w:rsid w:val="009523DA"/>
    <w:rsid w:val="0096289D"/>
    <w:rsid w:val="00977066"/>
    <w:rsid w:val="009C4C8E"/>
    <w:rsid w:val="009D5953"/>
    <w:rsid w:val="009E43F7"/>
    <w:rsid w:val="009F6930"/>
    <w:rsid w:val="00A20D1B"/>
    <w:rsid w:val="00A5186F"/>
    <w:rsid w:val="00AD565C"/>
    <w:rsid w:val="00AE105C"/>
    <w:rsid w:val="00B20506"/>
    <w:rsid w:val="00B65D8D"/>
    <w:rsid w:val="00B95FAE"/>
    <w:rsid w:val="00BA2585"/>
    <w:rsid w:val="00BB2F82"/>
    <w:rsid w:val="00BD3F63"/>
    <w:rsid w:val="00BF39B5"/>
    <w:rsid w:val="00C3628A"/>
    <w:rsid w:val="00C87944"/>
    <w:rsid w:val="00C966F1"/>
    <w:rsid w:val="00CA47EB"/>
    <w:rsid w:val="00CF7802"/>
    <w:rsid w:val="00D11991"/>
    <w:rsid w:val="00D12776"/>
    <w:rsid w:val="00D61110"/>
    <w:rsid w:val="00D95E58"/>
    <w:rsid w:val="00DA0B29"/>
    <w:rsid w:val="00DD0A5A"/>
    <w:rsid w:val="00DE7613"/>
    <w:rsid w:val="00DF2EB1"/>
    <w:rsid w:val="00E0795C"/>
    <w:rsid w:val="00E27765"/>
    <w:rsid w:val="00E52A93"/>
    <w:rsid w:val="00E55D3B"/>
    <w:rsid w:val="00EB4C46"/>
    <w:rsid w:val="00EC1D80"/>
    <w:rsid w:val="00EF0FD5"/>
    <w:rsid w:val="00F01772"/>
    <w:rsid w:val="00F113E2"/>
    <w:rsid w:val="00F16DF9"/>
    <w:rsid w:val="00F4388D"/>
    <w:rsid w:val="00F63414"/>
    <w:rsid w:val="00FA0D15"/>
    <w:rsid w:val="00FA7385"/>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A8B67"/>
  <w15:docId w15:val="{79081E99-4977-427E-87F4-128E66B1D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A76"/>
    <w:rPr>
      <w:rFonts w:eastAsiaTheme="minorEastAsia"/>
      <w:lang w:eastAsia="id-ID"/>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D46A76"/>
    <w:rPr>
      <w:rFonts w:cs="Times New Roman"/>
      <w:color w:val="0000FF" w:themeColor="hyperlink"/>
      <w:u w:val="single"/>
    </w:rPr>
  </w:style>
  <w:style w:type="table" w:styleId="TableGrid">
    <w:name w:val="Table Grid"/>
    <w:basedOn w:val="TableNormal"/>
    <w:uiPriority w:val="59"/>
    <w:rsid w:val="00D46A76"/>
    <w:pPr>
      <w:spacing w:after="0" w:line="240" w:lineRule="auto"/>
    </w:pPr>
    <w:rPr>
      <w:rFonts w:eastAsia="Times New Roman" w:cstheme="minorHAnsi"/>
      <w:lang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46A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6A76"/>
    <w:rPr>
      <w:rFonts w:eastAsiaTheme="minorEastAsia"/>
      <w:lang w:eastAsia="id-ID"/>
    </w:rPr>
  </w:style>
  <w:style w:type="paragraph" w:styleId="Footer">
    <w:name w:val="footer"/>
    <w:basedOn w:val="Normal"/>
    <w:link w:val="FooterChar"/>
    <w:uiPriority w:val="99"/>
    <w:unhideWhenUsed/>
    <w:rsid w:val="00D46A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6A76"/>
    <w:rPr>
      <w:rFonts w:eastAsiaTheme="minorEastAsia"/>
      <w:lang w:eastAsia="id-ID"/>
    </w:rPr>
  </w:style>
  <w:style w:type="paragraph" w:styleId="ListParagraph">
    <w:name w:val="List Paragraph"/>
    <w:basedOn w:val="Normal"/>
    <w:link w:val="ListParagraphChar"/>
    <w:uiPriority w:val="34"/>
    <w:qFormat/>
    <w:rsid w:val="00D46A76"/>
    <w:pPr>
      <w:ind w:left="720"/>
      <w:contextualSpacing/>
    </w:pPr>
  </w:style>
  <w:style w:type="paragraph" w:customStyle="1" w:styleId="IlmuDakwah13Institusi">
    <w:name w:val="Ilmu Dakwah_1.3 Institusi"/>
    <w:autoRedefine/>
    <w:qFormat/>
    <w:rsid w:val="007D2A4A"/>
    <w:pPr>
      <w:spacing w:after="0"/>
      <w:jc w:val="center"/>
    </w:pPr>
    <w:rPr>
      <w:rFonts w:ascii="Garamond" w:eastAsiaTheme="minorEastAsia" w:hAnsi="Garamond"/>
      <w:bCs/>
      <w:sz w:val="20"/>
      <w:szCs w:val="28"/>
      <w:lang w:eastAsia="id-ID"/>
    </w:rPr>
  </w:style>
  <w:style w:type="paragraph" w:customStyle="1" w:styleId="IlmuDakwah12Penulis">
    <w:name w:val="Ilmu Dakwah_1.2 Penulis"/>
    <w:basedOn w:val="Normal"/>
    <w:link w:val="IlmuDakwah12PenulisChar"/>
    <w:qFormat/>
    <w:rsid w:val="007D2A4A"/>
    <w:pPr>
      <w:widowControl w:val="0"/>
      <w:autoSpaceDE w:val="0"/>
      <w:autoSpaceDN w:val="0"/>
      <w:adjustRightInd w:val="0"/>
      <w:spacing w:before="240" w:after="0" w:line="240" w:lineRule="auto"/>
      <w:ind w:right="-34"/>
      <w:jc w:val="center"/>
    </w:pPr>
    <w:rPr>
      <w:rFonts w:ascii="Garamond" w:hAnsi="Garamond"/>
      <w:b/>
      <w:bCs/>
      <w:sz w:val="24"/>
      <w:szCs w:val="28"/>
    </w:rPr>
  </w:style>
  <w:style w:type="character" w:customStyle="1" w:styleId="IlmuDakwah12PenulisChar">
    <w:name w:val="Ilmu Dakwah_1.2 Penulis Char"/>
    <w:basedOn w:val="DefaultParagraphFont"/>
    <w:link w:val="IlmuDakwah12Penulis"/>
    <w:rsid w:val="007D2A4A"/>
    <w:rPr>
      <w:rFonts w:ascii="Garamond" w:eastAsiaTheme="minorEastAsia" w:hAnsi="Garamond"/>
      <w:b/>
      <w:bCs/>
      <w:sz w:val="24"/>
      <w:szCs w:val="28"/>
      <w:lang w:eastAsia="id-ID"/>
    </w:rPr>
  </w:style>
  <w:style w:type="character" w:customStyle="1" w:styleId="A2">
    <w:name w:val="A2"/>
    <w:uiPriority w:val="99"/>
    <w:rsid w:val="00C67ECF"/>
    <w:rPr>
      <w:b/>
      <w:bCs/>
      <w:color w:val="000000"/>
      <w:sz w:val="22"/>
      <w:szCs w:val="22"/>
    </w:rPr>
  </w:style>
  <w:style w:type="paragraph" w:customStyle="1" w:styleId="IlmuDakwah11Judul">
    <w:name w:val="Ilmu Dakwah_1.1 Judul"/>
    <w:basedOn w:val="Normal"/>
    <w:link w:val="IlmuDakwah11JudulChar"/>
    <w:qFormat/>
    <w:rsid w:val="00C67ECF"/>
    <w:pPr>
      <w:widowControl w:val="0"/>
      <w:autoSpaceDE w:val="0"/>
      <w:autoSpaceDN w:val="0"/>
      <w:adjustRightInd w:val="0"/>
      <w:spacing w:after="0" w:line="240" w:lineRule="auto"/>
      <w:ind w:right="-32" w:hanging="1"/>
      <w:jc w:val="center"/>
    </w:pPr>
    <w:rPr>
      <w:rFonts w:ascii="Garamond" w:hAnsi="Garamond"/>
      <w:b/>
      <w:bCs/>
      <w:sz w:val="32"/>
      <w:szCs w:val="28"/>
    </w:rPr>
  </w:style>
  <w:style w:type="character" w:customStyle="1" w:styleId="IlmuDakwah11JudulChar">
    <w:name w:val="Ilmu Dakwah_1.1 Judul Char"/>
    <w:basedOn w:val="DefaultParagraphFont"/>
    <w:link w:val="IlmuDakwah11Judul"/>
    <w:rsid w:val="00C67ECF"/>
    <w:rPr>
      <w:rFonts w:ascii="Garamond" w:eastAsiaTheme="minorEastAsia" w:hAnsi="Garamond"/>
      <w:b/>
      <w:bCs/>
      <w:sz w:val="32"/>
      <w:szCs w:val="28"/>
      <w:lang w:eastAsia="id-ID"/>
    </w:rPr>
  </w:style>
  <w:style w:type="paragraph" w:styleId="BalloonText">
    <w:name w:val="Balloon Text"/>
    <w:basedOn w:val="Normal"/>
    <w:link w:val="BalloonTextChar"/>
    <w:uiPriority w:val="99"/>
    <w:semiHidden/>
    <w:unhideWhenUsed/>
    <w:rsid w:val="00C67E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7ECF"/>
    <w:rPr>
      <w:rFonts w:ascii="Tahoma" w:eastAsiaTheme="minorEastAsia" w:hAnsi="Tahoma" w:cs="Tahoma"/>
      <w:sz w:val="16"/>
      <w:szCs w:val="16"/>
      <w:lang w:eastAsia="id-ID"/>
    </w:rPr>
  </w:style>
  <w:style w:type="paragraph" w:customStyle="1" w:styleId="IlmuDakwah14Email">
    <w:name w:val="Ilmu Dakwah_1.4 Email"/>
    <w:autoRedefine/>
    <w:qFormat/>
    <w:rsid w:val="009B57F5"/>
    <w:pPr>
      <w:spacing w:after="0" w:line="240" w:lineRule="auto"/>
      <w:jc w:val="center"/>
    </w:pPr>
    <w:rPr>
      <w:rFonts w:ascii="Garamond" w:eastAsiaTheme="minorEastAsia" w:hAnsi="Garamond" w:cs="Times New Roman"/>
      <w:i/>
      <w:iCs/>
      <w:sz w:val="20"/>
      <w:szCs w:val="24"/>
      <w:lang w:eastAsia="id-ID"/>
    </w:rPr>
  </w:style>
  <w:style w:type="paragraph" w:customStyle="1" w:styleId="IlmuDakwah15aAbstractBInggrisJudul">
    <w:name w:val="Ilmu Dakwah_1.5a Abstract B. Inggris Judul"/>
    <w:autoRedefine/>
    <w:qFormat/>
    <w:rsid w:val="000F31F5"/>
    <w:pPr>
      <w:widowControl w:val="0"/>
      <w:autoSpaceDE w:val="0"/>
      <w:autoSpaceDN w:val="0"/>
      <w:adjustRightInd w:val="0"/>
      <w:spacing w:before="240" w:after="0" w:line="240" w:lineRule="auto"/>
      <w:jc w:val="center"/>
    </w:pPr>
    <w:rPr>
      <w:rFonts w:ascii="Garamond" w:eastAsiaTheme="minorEastAsia" w:hAnsi="Garamond"/>
      <w:i/>
      <w:sz w:val="20"/>
      <w:szCs w:val="24"/>
      <w:lang w:val="en-US" w:eastAsia="id-ID"/>
    </w:rPr>
  </w:style>
  <w:style w:type="paragraph" w:customStyle="1" w:styleId="IlmuDakwah15bAbstractBInggrisBody">
    <w:name w:val="Ilmu Dakwah_1.5b Abstract B. Inggris Body"/>
    <w:qFormat/>
    <w:rsid w:val="009B57F5"/>
    <w:pPr>
      <w:widowControl w:val="0"/>
      <w:autoSpaceDE w:val="0"/>
      <w:autoSpaceDN w:val="0"/>
      <w:adjustRightInd w:val="0"/>
      <w:spacing w:after="0" w:line="240" w:lineRule="auto"/>
      <w:jc w:val="both"/>
    </w:pPr>
    <w:rPr>
      <w:rFonts w:ascii="Garamond" w:eastAsiaTheme="minorEastAsia" w:hAnsi="Garamond"/>
      <w:i/>
      <w:lang w:val="en-US" w:eastAsia="id-ID"/>
    </w:rPr>
  </w:style>
  <w:style w:type="paragraph" w:customStyle="1" w:styleId="IlmuDakwah16aAbstrakJudul">
    <w:name w:val="Ilmu Dakwah_1.6a Abstrak Judul"/>
    <w:qFormat/>
    <w:rsid w:val="00080587"/>
    <w:pPr>
      <w:spacing w:before="120" w:after="0" w:line="240" w:lineRule="auto"/>
      <w:jc w:val="center"/>
    </w:pPr>
    <w:rPr>
      <w:rFonts w:ascii="Garamond" w:eastAsiaTheme="minorEastAsia" w:hAnsi="Garamond"/>
      <w:b/>
      <w:sz w:val="20"/>
      <w:szCs w:val="24"/>
      <w:lang w:val="en-US" w:eastAsia="id-ID"/>
    </w:rPr>
  </w:style>
  <w:style w:type="paragraph" w:customStyle="1" w:styleId="IlmuDakwah16bAbstrakBody">
    <w:name w:val="Ilmu Dakwah_1.6b Abstrak Body"/>
    <w:basedOn w:val="Normal"/>
    <w:qFormat/>
    <w:rsid w:val="000F31F5"/>
    <w:pPr>
      <w:widowControl w:val="0"/>
      <w:autoSpaceDE w:val="0"/>
      <w:autoSpaceDN w:val="0"/>
      <w:adjustRightInd w:val="0"/>
      <w:spacing w:after="0" w:line="240" w:lineRule="auto"/>
      <w:jc w:val="both"/>
    </w:pPr>
    <w:rPr>
      <w:rFonts w:ascii="Garamond" w:hAnsi="Garamond"/>
    </w:rPr>
  </w:style>
  <w:style w:type="paragraph" w:customStyle="1" w:styleId="IlmuDakwah15cKeywordsBInggris">
    <w:name w:val="Ilmu Dakwah_1.5c Keywords B. Inggris"/>
    <w:qFormat/>
    <w:rsid w:val="000F31F5"/>
    <w:pPr>
      <w:widowControl w:val="0"/>
      <w:autoSpaceDE w:val="0"/>
      <w:autoSpaceDN w:val="0"/>
      <w:adjustRightInd w:val="0"/>
      <w:spacing w:after="0" w:line="240" w:lineRule="auto"/>
      <w:ind w:right="-32" w:hanging="1"/>
    </w:pPr>
    <w:rPr>
      <w:rFonts w:ascii="Garamond" w:eastAsiaTheme="minorEastAsia" w:hAnsi="Garamond"/>
      <w:bCs/>
      <w:i/>
      <w:iCs/>
      <w:lang w:eastAsia="id-ID"/>
    </w:rPr>
  </w:style>
  <w:style w:type="paragraph" w:customStyle="1" w:styleId="IlmuDakwah21HeadingPENDAHULUANdst">
    <w:name w:val="Ilmu Dakwah_2.1 Heading (PENDAHULUAN dst)"/>
    <w:basedOn w:val="Normal"/>
    <w:qFormat/>
    <w:rsid w:val="00633909"/>
    <w:pPr>
      <w:widowControl w:val="0"/>
      <w:autoSpaceDE w:val="0"/>
      <w:autoSpaceDN w:val="0"/>
      <w:adjustRightInd w:val="0"/>
      <w:spacing w:before="240" w:after="120" w:line="240" w:lineRule="auto"/>
    </w:pPr>
    <w:rPr>
      <w:rFonts w:ascii="Garamond" w:hAnsi="Garamond"/>
      <w:b/>
      <w:bCs/>
      <w:sz w:val="24"/>
      <w:szCs w:val="24"/>
      <w:lang w:val="en-US"/>
    </w:rPr>
  </w:style>
  <w:style w:type="paragraph" w:customStyle="1" w:styleId="IlmuDakwah22SubheadingJudulTemuanPenelitian">
    <w:name w:val="Ilmu Dakwah_2.2 Subheading (Judul Temuan Penelitian)"/>
    <w:basedOn w:val="Normal"/>
    <w:qFormat/>
    <w:rsid w:val="00633909"/>
    <w:pPr>
      <w:widowControl w:val="0"/>
      <w:autoSpaceDE w:val="0"/>
      <w:autoSpaceDN w:val="0"/>
      <w:adjustRightInd w:val="0"/>
      <w:spacing w:before="120" w:after="0" w:line="240" w:lineRule="auto"/>
      <w:ind w:right="-34"/>
      <w:jc w:val="both"/>
    </w:pPr>
    <w:rPr>
      <w:rFonts w:ascii="Garamond" w:hAnsi="Garamond"/>
      <w:b/>
      <w:sz w:val="24"/>
      <w:szCs w:val="24"/>
      <w:lang w:val="en-US"/>
    </w:rPr>
  </w:style>
  <w:style w:type="paragraph" w:customStyle="1" w:styleId="IlmuDakwah16cKataKunci">
    <w:name w:val="Ilmu Dakwah_1.6c Kata Kunci"/>
    <w:basedOn w:val="Normal"/>
    <w:autoRedefine/>
    <w:qFormat/>
    <w:rsid w:val="00063A01"/>
    <w:pPr>
      <w:widowControl w:val="0"/>
      <w:autoSpaceDE w:val="0"/>
      <w:autoSpaceDN w:val="0"/>
      <w:adjustRightInd w:val="0"/>
      <w:spacing w:after="120" w:line="360" w:lineRule="auto"/>
      <w:ind w:right="-32" w:hanging="1"/>
      <w:jc w:val="both"/>
    </w:pPr>
    <w:rPr>
      <w:rFonts w:ascii="Garamond" w:hAnsi="Garamond"/>
    </w:rPr>
  </w:style>
  <w:style w:type="paragraph" w:customStyle="1" w:styleId="IlmuDakwah23aBodyArtikelParagraf1">
    <w:name w:val="Ilmu Dakwah_2.3a Body Artikel Paragraf 1"/>
    <w:basedOn w:val="Normal"/>
    <w:qFormat/>
    <w:rsid w:val="00633909"/>
    <w:pPr>
      <w:spacing w:after="0" w:line="240" w:lineRule="auto"/>
      <w:jc w:val="both"/>
    </w:pPr>
    <w:rPr>
      <w:rFonts w:ascii="Garamond" w:hAnsi="Garamond"/>
      <w:sz w:val="24"/>
    </w:rPr>
  </w:style>
  <w:style w:type="paragraph" w:customStyle="1" w:styleId="IlmuDakwah23bBodyArtikelParagraf2dst">
    <w:name w:val="Ilmu Dakwah_2.3b Body Artikel Paragraf 2 dst"/>
    <w:basedOn w:val="Normal"/>
    <w:qFormat/>
    <w:rsid w:val="00633909"/>
    <w:pPr>
      <w:widowControl w:val="0"/>
      <w:autoSpaceDE w:val="0"/>
      <w:autoSpaceDN w:val="0"/>
      <w:adjustRightInd w:val="0"/>
      <w:spacing w:after="0" w:line="240" w:lineRule="auto"/>
      <w:ind w:right="-34" w:firstLine="567"/>
      <w:jc w:val="both"/>
    </w:pPr>
    <w:rPr>
      <w:rFonts w:ascii="Garamond" w:hAnsi="Garamond"/>
      <w:sz w:val="24"/>
      <w:szCs w:val="24"/>
      <w:lang w:val="en-US"/>
    </w:rPr>
  </w:style>
  <w:style w:type="paragraph" w:customStyle="1" w:styleId="IlmuDakwah23cBodyKutipanLangsung">
    <w:name w:val="Ilmu Dakwah_2.3c Body Kutipan Langsung"/>
    <w:basedOn w:val="Normal"/>
    <w:qFormat/>
    <w:rsid w:val="00633909"/>
    <w:pPr>
      <w:widowControl w:val="0"/>
      <w:autoSpaceDE w:val="0"/>
      <w:autoSpaceDN w:val="0"/>
      <w:adjustRightInd w:val="0"/>
      <w:spacing w:after="0" w:line="240" w:lineRule="auto"/>
      <w:ind w:left="567" w:right="-32"/>
      <w:jc w:val="both"/>
    </w:pPr>
    <w:rPr>
      <w:rFonts w:ascii="Garamond" w:hAnsi="Garamond"/>
      <w:sz w:val="24"/>
      <w:szCs w:val="24"/>
      <w:lang w:val="en-US"/>
    </w:rPr>
  </w:style>
  <w:style w:type="paragraph" w:customStyle="1" w:styleId="IlmuDakwah25aTabelNomor">
    <w:name w:val="Ilmu Dakwah_2.5a Tabel Nomor"/>
    <w:basedOn w:val="Normal"/>
    <w:qFormat/>
    <w:rsid w:val="00633909"/>
    <w:pPr>
      <w:tabs>
        <w:tab w:val="left" w:pos="5297"/>
      </w:tabs>
      <w:spacing w:before="120" w:after="120" w:line="240" w:lineRule="auto"/>
      <w:jc w:val="center"/>
    </w:pPr>
    <w:rPr>
      <w:rFonts w:ascii="Garamond" w:hAnsi="Garamond"/>
      <w:sz w:val="24"/>
      <w:szCs w:val="24"/>
    </w:rPr>
  </w:style>
  <w:style w:type="paragraph" w:customStyle="1" w:styleId="IlmuDakwah24bGambarNomordanKeterangan">
    <w:name w:val="Ilmu Dakwah_2.4b Gambar Nomor dan Keterangan"/>
    <w:basedOn w:val="Normal"/>
    <w:qFormat/>
    <w:rsid w:val="007D2A4A"/>
    <w:pPr>
      <w:spacing w:before="120" w:after="120" w:line="240" w:lineRule="auto"/>
      <w:jc w:val="center"/>
    </w:pPr>
    <w:rPr>
      <w:rFonts w:ascii="Garamond" w:eastAsia="Times New Roman" w:hAnsi="Garamond"/>
      <w:sz w:val="24"/>
      <w:szCs w:val="24"/>
    </w:rPr>
  </w:style>
  <w:style w:type="paragraph" w:customStyle="1" w:styleId="IlmuDakwah31HeaderNamaPenulis">
    <w:name w:val="Ilmu Dakwah_3.1 Header Nama Penulis"/>
    <w:basedOn w:val="Header"/>
    <w:autoRedefine/>
    <w:qFormat/>
    <w:rsid w:val="007D2A4A"/>
    <w:rPr>
      <w:rFonts w:ascii="Garamond" w:hAnsi="Garamond"/>
      <w:iCs/>
      <w:sz w:val="16"/>
      <w:szCs w:val="16"/>
      <w:lang w:val="en-US"/>
    </w:rPr>
  </w:style>
  <w:style w:type="paragraph" w:customStyle="1" w:styleId="IlmuDakwah32HeaderJudulArtikel">
    <w:name w:val="Ilmu Dakwah_3.2 Header Judul Artikel"/>
    <w:basedOn w:val="Header"/>
    <w:autoRedefine/>
    <w:qFormat/>
    <w:rsid w:val="007D2A4A"/>
    <w:pPr>
      <w:jc w:val="right"/>
    </w:pPr>
    <w:rPr>
      <w:rFonts w:ascii="Garamond" w:hAnsi="Garamond"/>
      <w:i/>
      <w:iCs/>
      <w:sz w:val="16"/>
      <w:szCs w:val="16"/>
      <w:lang w:val="en-US"/>
    </w:rPr>
  </w:style>
  <w:style w:type="paragraph" w:customStyle="1" w:styleId="IlmuDakwah25bTabelBagianAtas">
    <w:name w:val="Ilmu Dakwah_2.5b Tabel Bagian Atas"/>
    <w:basedOn w:val="Normal"/>
    <w:qFormat/>
    <w:rsid w:val="007D2A4A"/>
    <w:pPr>
      <w:tabs>
        <w:tab w:val="left" w:pos="5297"/>
      </w:tabs>
      <w:spacing w:after="120" w:line="240" w:lineRule="auto"/>
      <w:jc w:val="center"/>
    </w:pPr>
    <w:rPr>
      <w:rFonts w:ascii="Garamond" w:hAnsi="Garamond" w:cstheme="minorHAnsi"/>
      <w:b/>
      <w:bCs/>
      <w:sz w:val="20"/>
      <w:szCs w:val="24"/>
    </w:rPr>
  </w:style>
  <w:style w:type="paragraph" w:customStyle="1" w:styleId="IlmuDakwah25cTabelBody">
    <w:name w:val="Ilmu Dakwah_2.5c Tabel Body"/>
    <w:basedOn w:val="Normal"/>
    <w:autoRedefine/>
    <w:qFormat/>
    <w:rsid w:val="00487147"/>
    <w:pPr>
      <w:tabs>
        <w:tab w:val="left" w:pos="5297"/>
      </w:tabs>
      <w:spacing w:after="0" w:line="360" w:lineRule="auto"/>
    </w:pPr>
    <w:rPr>
      <w:rFonts w:ascii="Garamond" w:hAnsi="Garamond" w:cstheme="minorHAnsi"/>
      <w:sz w:val="20"/>
      <w:szCs w:val="24"/>
    </w:rPr>
  </w:style>
  <w:style w:type="paragraph" w:customStyle="1" w:styleId="IlmuDakwah26DaftarPustaka">
    <w:name w:val="Ilmu Dakwah_2.6 Daftar Pustaka"/>
    <w:basedOn w:val="Normal"/>
    <w:qFormat/>
    <w:rsid w:val="00B2589F"/>
    <w:pPr>
      <w:widowControl w:val="0"/>
      <w:autoSpaceDE w:val="0"/>
      <w:autoSpaceDN w:val="0"/>
      <w:adjustRightInd w:val="0"/>
      <w:spacing w:after="0" w:line="240" w:lineRule="auto"/>
      <w:ind w:left="567" w:right="-32" w:hanging="568"/>
      <w:jc w:val="both"/>
    </w:pPr>
    <w:rPr>
      <w:rFonts w:ascii="Garamond" w:hAnsi="Garamond"/>
      <w:sz w:val="24"/>
      <w:szCs w:val="24"/>
    </w:rPr>
  </w:style>
  <w:style w:type="paragraph" w:customStyle="1" w:styleId="IlmuDakwah24aGambarSumber">
    <w:name w:val="Ilmu Dakwah_2.4a Gambar Sumber"/>
    <w:basedOn w:val="Normal"/>
    <w:qFormat/>
    <w:rsid w:val="00B2589F"/>
    <w:pPr>
      <w:spacing w:after="0" w:line="240" w:lineRule="auto"/>
    </w:pPr>
    <w:rPr>
      <w:rFonts w:ascii="Garamond" w:eastAsia="Times New Roman" w:hAnsi="Garamond"/>
      <w:sz w:val="20"/>
      <w:szCs w:val="24"/>
    </w:rPr>
  </w:style>
  <w:style w:type="paragraph" w:customStyle="1" w:styleId="IlmuDakwah25dTabelSumber">
    <w:name w:val="Ilmu Dakwah_2.5d Tabel Sumber"/>
    <w:basedOn w:val="Normal"/>
    <w:qFormat/>
    <w:rsid w:val="00080587"/>
    <w:pPr>
      <w:spacing w:after="120" w:line="240" w:lineRule="auto"/>
    </w:pPr>
    <w:rPr>
      <w:rFonts w:ascii="Garamond" w:eastAsia="Times New Roman" w:hAnsi="Garamond"/>
      <w:sz w:val="20"/>
      <w:szCs w:val="24"/>
    </w:rPr>
  </w:style>
  <w:style w:type="character" w:styleId="Emphasis">
    <w:name w:val="Emphasis"/>
    <w:basedOn w:val="DefaultParagraphFont"/>
    <w:uiPriority w:val="20"/>
    <w:qFormat/>
    <w:rsid w:val="00D55D01"/>
    <w:rPr>
      <w:i/>
      <w:iCs/>
    </w:rPr>
  </w:style>
  <w:style w:type="paragraph" w:styleId="FootnoteText">
    <w:name w:val="footnote text"/>
    <w:aliases w:val="Char Char Char Char,Char Char Char1,Char Char1,Char Char Char,f_Footnote Char,Footnote Text Char Char Char"/>
    <w:basedOn w:val="Normal"/>
    <w:link w:val="FootnoteTextChar"/>
    <w:uiPriority w:val="99"/>
    <w:unhideWhenUsed/>
    <w:qFormat/>
    <w:rsid w:val="00ED146E"/>
    <w:pPr>
      <w:spacing w:after="0" w:line="240" w:lineRule="auto"/>
    </w:pPr>
    <w:rPr>
      <w:sz w:val="20"/>
      <w:szCs w:val="20"/>
    </w:rPr>
  </w:style>
  <w:style w:type="character" w:customStyle="1" w:styleId="FootnoteTextChar">
    <w:name w:val="Footnote Text Char"/>
    <w:aliases w:val="Char Char Char Char Char,Char Char Char1 Char,Char Char1 Char,Char Char Char Char1,f_Footnote Char Char,Footnote Text Char Char Char Char"/>
    <w:basedOn w:val="DefaultParagraphFont"/>
    <w:link w:val="FootnoteText"/>
    <w:uiPriority w:val="99"/>
    <w:rsid w:val="00ED146E"/>
    <w:rPr>
      <w:rFonts w:eastAsiaTheme="minorEastAsia"/>
      <w:sz w:val="20"/>
      <w:szCs w:val="20"/>
      <w:lang w:eastAsia="id-ID"/>
    </w:rPr>
  </w:style>
  <w:style w:type="character" w:styleId="FootnoteReference">
    <w:name w:val="footnote reference"/>
    <w:basedOn w:val="DefaultParagraphFont"/>
    <w:uiPriority w:val="99"/>
    <w:unhideWhenUsed/>
    <w:rsid w:val="00ED146E"/>
    <w:rPr>
      <w:vertAlign w:val="superscript"/>
    </w:rPr>
  </w:style>
  <w:style w:type="paragraph" w:styleId="Bibliography">
    <w:name w:val="Bibliography"/>
    <w:basedOn w:val="Normal"/>
    <w:next w:val="Normal"/>
    <w:uiPriority w:val="37"/>
    <w:semiHidden/>
    <w:unhideWhenUsed/>
    <w:rsid w:val="00ED146E"/>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character" w:customStyle="1" w:styleId="UnresolvedMention1">
    <w:name w:val="Unresolved Mention1"/>
    <w:basedOn w:val="DefaultParagraphFont"/>
    <w:uiPriority w:val="99"/>
    <w:semiHidden/>
    <w:unhideWhenUsed/>
    <w:rsid w:val="00D61110"/>
    <w:rPr>
      <w:color w:val="605E5C"/>
      <w:shd w:val="clear" w:color="auto" w:fill="E1DFDD"/>
    </w:rPr>
  </w:style>
  <w:style w:type="paragraph" w:styleId="NoSpacing">
    <w:name w:val="No Spacing"/>
    <w:link w:val="NoSpacingChar"/>
    <w:uiPriority w:val="1"/>
    <w:qFormat/>
    <w:rsid w:val="00F113E2"/>
    <w:pPr>
      <w:spacing w:after="0" w:line="240" w:lineRule="auto"/>
    </w:pPr>
    <w:rPr>
      <w:rFonts w:asciiTheme="minorHAnsi" w:eastAsia="Times New Roman" w:hAnsiTheme="minorHAnsi" w:cs="Arial"/>
      <w:lang w:val="en-US" w:eastAsia="en-US"/>
    </w:rPr>
  </w:style>
  <w:style w:type="character" w:customStyle="1" w:styleId="NoSpacingChar">
    <w:name w:val="No Spacing Char"/>
    <w:basedOn w:val="DefaultParagraphFont"/>
    <w:link w:val="NoSpacing"/>
    <w:uiPriority w:val="1"/>
    <w:locked/>
    <w:rsid w:val="00F113E2"/>
    <w:rPr>
      <w:rFonts w:asciiTheme="minorHAnsi" w:eastAsia="Times New Roman" w:hAnsiTheme="minorHAnsi" w:cs="Arial"/>
      <w:lang w:val="en-US" w:eastAsia="en-US"/>
    </w:rPr>
  </w:style>
  <w:style w:type="character" w:customStyle="1" w:styleId="ListParagraphChar">
    <w:name w:val="List Paragraph Char"/>
    <w:link w:val="ListParagraph"/>
    <w:uiPriority w:val="34"/>
    <w:locked/>
    <w:rsid w:val="00B65D8D"/>
    <w:rPr>
      <w:rFonts w:eastAsiaTheme="minorEastAsia"/>
      <w:lang w:eastAsia="id-ID"/>
    </w:rPr>
  </w:style>
  <w:style w:type="character" w:styleId="CommentReference">
    <w:name w:val="annotation reference"/>
    <w:basedOn w:val="DefaultParagraphFont"/>
    <w:uiPriority w:val="99"/>
    <w:semiHidden/>
    <w:unhideWhenUsed/>
    <w:rsid w:val="00DA0B29"/>
    <w:rPr>
      <w:sz w:val="16"/>
      <w:szCs w:val="16"/>
    </w:rPr>
  </w:style>
  <w:style w:type="paragraph" w:styleId="CommentText">
    <w:name w:val="annotation text"/>
    <w:basedOn w:val="Normal"/>
    <w:link w:val="CommentTextChar"/>
    <w:uiPriority w:val="99"/>
    <w:semiHidden/>
    <w:unhideWhenUsed/>
    <w:rsid w:val="00DA0B29"/>
    <w:pPr>
      <w:spacing w:line="240" w:lineRule="auto"/>
    </w:pPr>
    <w:rPr>
      <w:sz w:val="20"/>
      <w:szCs w:val="20"/>
    </w:rPr>
  </w:style>
  <w:style w:type="character" w:customStyle="1" w:styleId="CommentTextChar">
    <w:name w:val="Comment Text Char"/>
    <w:basedOn w:val="DefaultParagraphFont"/>
    <w:link w:val="CommentText"/>
    <w:uiPriority w:val="99"/>
    <w:semiHidden/>
    <w:rsid w:val="00DA0B29"/>
    <w:rPr>
      <w:rFonts w:eastAsiaTheme="minorEastAsia"/>
      <w:sz w:val="20"/>
      <w:szCs w:val="20"/>
      <w:lang w:eastAsia="id-ID"/>
    </w:rPr>
  </w:style>
  <w:style w:type="paragraph" w:styleId="CommentSubject">
    <w:name w:val="annotation subject"/>
    <w:basedOn w:val="CommentText"/>
    <w:next w:val="CommentText"/>
    <w:link w:val="CommentSubjectChar"/>
    <w:uiPriority w:val="99"/>
    <w:semiHidden/>
    <w:unhideWhenUsed/>
    <w:rsid w:val="00DA0B29"/>
    <w:rPr>
      <w:b/>
      <w:bCs/>
    </w:rPr>
  </w:style>
  <w:style w:type="character" w:customStyle="1" w:styleId="CommentSubjectChar">
    <w:name w:val="Comment Subject Char"/>
    <w:basedOn w:val="CommentTextChar"/>
    <w:link w:val="CommentSubject"/>
    <w:uiPriority w:val="99"/>
    <w:semiHidden/>
    <w:rsid w:val="00DA0B29"/>
    <w:rPr>
      <w:rFonts w:eastAsiaTheme="minorEastAsia"/>
      <w:b/>
      <w:bCs/>
      <w:sz w:val="20"/>
      <w:szCs w:val="20"/>
      <w:lang w:eastAsia="id-ID"/>
    </w:rPr>
  </w:style>
  <w:style w:type="character" w:styleId="PageNumber">
    <w:name w:val="page number"/>
    <w:basedOn w:val="DefaultParagraphFont"/>
    <w:uiPriority w:val="99"/>
    <w:semiHidden/>
    <w:unhideWhenUsed/>
    <w:rsid w:val="00BA2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51629">
      <w:bodyDiv w:val="1"/>
      <w:marLeft w:val="0"/>
      <w:marRight w:val="0"/>
      <w:marTop w:val="0"/>
      <w:marBottom w:val="0"/>
      <w:divBdr>
        <w:top w:val="none" w:sz="0" w:space="0" w:color="auto"/>
        <w:left w:val="none" w:sz="0" w:space="0" w:color="auto"/>
        <w:bottom w:val="none" w:sz="0" w:space="0" w:color="auto"/>
        <w:right w:val="none" w:sz="0" w:space="0" w:color="auto"/>
      </w:divBdr>
    </w:div>
    <w:div w:id="333344516">
      <w:bodyDiv w:val="1"/>
      <w:marLeft w:val="0"/>
      <w:marRight w:val="0"/>
      <w:marTop w:val="0"/>
      <w:marBottom w:val="0"/>
      <w:divBdr>
        <w:top w:val="none" w:sz="0" w:space="0" w:color="auto"/>
        <w:left w:val="none" w:sz="0" w:space="0" w:color="auto"/>
        <w:bottom w:val="none" w:sz="0" w:space="0" w:color="auto"/>
        <w:right w:val="none" w:sz="0" w:space="0" w:color="auto"/>
      </w:divBdr>
    </w:div>
    <w:div w:id="844976372">
      <w:bodyDiv w:val="1"/>
      <w:marLeft w:val="0"/>
      <w:marRight w:val="0"/>
      <w:marTop w:val="0"/>
      <w:marBottom w:val="0"/>
      <w:divBdr>
        <w:top w:val="none" w:sz="0" w:space="0" w:color="auto"/>
        <w:left w:val="none" w:sz="0" w:space="0" w:color="auto"/>
        <w:bottom w:val="none" w:sz="0" w:space="0" w:color="auto"/>
        <w:right w:val="none" w:sz="0" w:space="0" w:color="auto"/>
      </w:divBdr>
    </w:div>
    <w:div w:id="1138109571">
      <w:bodyDiv w:val="1"/>
      <w:marLeft w:val="0"/>
      <w:marRight w:val="0"/>
      <w:marTop w:val="0"/>
      <w:marBottom w:val="0"/>
      <w:divBdr>
        <w:top w:val="none" w:sz="0" w:space="0" w:color="auto"/>
        <w:left w:val="none" w:sz="0" w:space="0" w:color="auto"/>
        <w:bottom w:val="none" w:sz="0" w:space="0" w:color="auto"/>
        <w:right w:val="none" w:sz="0" w:space="0" w:color="auto"/>
      </w:divBdr>
    </w:div>
    <w:div w:id="1680082381">
      <w:bodyDiv w:val="1"/>
      <w:marLeft w:val="0"/>
      <w:marRight w:val="0"/>
      <w:marTop w:val="0"/>
      <w:marBottom w:val="0"/>
      <w:divBdr>
        <w:top w:val="none" w:sz="0" w:space="0" w:color="auto"/>
        <w:left w:val="none" w:sz="0" w:space="0" w:color="auto"/>
        <w:bottom w:val="none" w:sz="0" w:space="0" w:color="auto"/>
        <w:right w:val="none" w:sz="0" w:space="0" w:color="auto"/>
      </w:divBdr>
    </w:div>
    <w:div w:id="1913154229">
      <w:bodyDiv w:val="1"/>
      <w:marLeft w:val="0"/>
      <w:marRight w:val="0"/>
      <w:marTop w:val="0"/>
      <w:marBottom w:val="0"/>
      <w:divBdr>
        <w:top w:val="none" w:sz="0" w:space="0" w:color="auto"/>
        <w:left w:val="none" w:sz="0" w:space="0" w:color="auto"/>
        <w:bottom w:val="none" w:sz="0" w:space="0" w:color="auto"/>
        <w:right w:val="none" w:sz="0" w:space="0" w:color="auto"/>
      </w:divBdr>
    </w:div>
    <w:div w:id="19826170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putrapandudinata@gmail.com"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LVGJQRbGmJnvc18nhM+O0YMc8zg==">AMUW2mUX+PLaBjGcPt6EVR7S1rSxJXHGqmWfvezXyOXTep7uD/dcjxLRDZKVjOU5whWa4WDZoEyiAMBmKV5DQkZ9DUZr20D2wxwS9QMPhreoTSLlpiZo4+4=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1A392EC-7978-4E3D-94DF-8E065510B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16</Pages>
  <Words>18025</Words>
  <Characters>102749</Characters>
  <Application>Microsoft Office Word</Application>
  <DocSecurity>0</DocSecurity>
  <Lines>856</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Microsoft Office User</cp:lastModifiedBy>
  <cp:revision>4</cp:revision>
  <cp:lastPrinted>2025-09-06T01:35:00Z</cp:lastPrinted>
  <dcterms:created xsi:type="dcterms:W3CDTF">2025-09-06T01:35:00Z</dcterms:created>
  <dcterms:modified xsi:type="dcterms:W3CDTF">2025-09-11T13:18:00Z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zotero-version="5.0.66"&gt;&lt;session id="hz9c8YLS"/&gt;&lt;style id="http://www.zotero.org/styles/chicago-fullnote-bibliography" locale="id-ID" hasBibliography="1" bibliographyStyleHasBeenSet="1"/&gt;&lt;prefs&gt;&lt;pref name="fieldType" value="Field"/&gt;</vt:lpwstr>
  </property>
  <property fmtid="{D5CDD505-2E9C-101B-9397-08002B2CF9AE}" pid="3" name="ZOTERO_PREF_2">
    <vt:lpwstr>&lt;pref name="noteType" value="1"/&gt;&lt;/prefs&gt;&lt;/data&gt;</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6th/7th edition</vt:lpwstr>
  </property>
  <property fmtid="{D5CDD505-2E9C-101B-9397-08002B2CF9AE}" pid="12" name="Mendeley Recent Style Id 4_1">
    <vt:lpwstr>http://www.zotero.org/styles/chicago-fullnote-bibliography</vt:lpwstr>
  </property>
  <property fmtid="{D5CDD505-2E9C-101B-9397-08002B2CF9AE}" pid="13" name="Mendeley Recent Style Name 4_1">
    <vt:lpwstr>Chicago Manual of Style 17th edition (full note)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http://www.zotero.org/styles/harvard1</vt:lpwstr>
  </property>
  <property fmtid="{D5CDD505-2E9C-101B-9397-08002B2CF9AE}" pid="17" name="Mendeley Recent Style Name 6_1">
    <vt:lpwstr>Harvard reference format 1 (deprecated)</vt:lpwstr>
  </property>
  <property fmtid="{D5CDD505-2E9C-101B-9397-08002B2CF9AE}" pid="18" name="Mendeley Recent Style Id 7_1">
    <vt:lpwstr>http://www.zotero.org/styles/ieee</vt:lpwstr>
  </property>
  <property fmtid="{D5CDD505-2E9C-101B-9397-08002B2CF9AE}" pid="19" name="Mendeley Recent Style Name 7_1">
    <vt:lpwstr>IEEE</vt:lpwstr>
  </property>
  <property fmtid="{D5CDD505-2E9C-101B-9397-08002B2CF9AE}" pid="20" name="Mendeley Recent Style Id 8_1">
    <vt:lpwstr>http://www.zotero.org/styles/modern-humanities-research-association</vt:lpwstr>
  </property>
  <property fmtid="{D5CDD505-2E9C-101B-9397-08002B2CF9AE}" pid="21" name="Mendeley Recent Style Name 8_1">
    <vt:lpwstr>Modern Humanities Research Association 3rd edition (note with bibliography)</vt:lpwstr>
  </property>
  <property fmtid="{D5CDD505-2E9C-101B-9397-08002B2CF9AE}" pid="22" name="Mendeley Recent Style Id 9_1">
    <vt:lpwstr>http://www.zotero.org/styles/turabian-fullnote-bibliography</vt:lpwstr>
  </property>
  <property fmtid="{D5CDD505-2E9C-101B-9397-08002B2CF9AE}" pid="23" name="Mendeley Recent Style Name 9_1">
    <vt:lpwstr>Turabian 9th edition (full note)</vt:lpwstr>
  </property>
  <property fmtid="{D5CDD505-2E9C-101B-9397-08002B2CF9AE}" pid="24" name="Mendeley Citation Style_1">
    <vt:lpwstr>http://www.zotero.org/styles/apa</vt:lpwstr>
  </property>
  <property fmtid="{D5CDD505-2E9C-101B-9397-08002B2CF9AE}" pid="25" name="Mendeley Document_1">
    <vt:lpwstr>True</vt:lpwstr>
  </property>
  <property fmtid="{D5CDD505-2E9C-101B-9397-08002B2CF9AE}" pid="26" name="Mendeley Unique User Id_1">
    <vt:lpwstr>9443f7ed-29d7-37c5-815d-7d3f6365ec4d</vt:lpwstr>
  </property>
</Properties>
</file>